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85CCC" w14:textId="7FE3B44C" w:rsidR="00BC4620" w:rsidRDefault="00122FA3" w:rsidP="00BC4620">
      <w:pPr>
        <w:jc w:val="center"/>
        <w:rPr>
          <w:b/>
          <w:color w:val="000000" w:themeColor="text1"/>
        </w:rPr>
      </w:pPr>
      <w:r>
        <w:rPr>
          <w:b/>
          <w:color w:val="000000" w:themeColor="text1"/>
        </w:rPr>
        <w:t>MOD</w:t>
      </w:r>
      <w:r w:rsidR="007419BA">
        <w:rPr>
          <w:b/>
          <w:color w:val="000000" w:themeColor="text1"/>
        </w:rPr>
        <w:t>È</w:t>
      </w:r>
      <w:r>
        <w:rPr>
          <w:b/>
          <w:color w:val="000000" w:themeColor="text1"/>
        </w:rPr>
        <w:t xml:space="preserve">LE DE </w:t>
      </w:r>
      <w:r w:rsidR="00BC4620" w:rsidRPr="00BC4620">
        <w:rPr>
          <w:b/>
          <w:color w:val="000000" w:themeColor="text1"/>
        </w:rPr>
        <w:t>D</w:t>
      </w:r>
      <w:r w:rsidR="007419BA">
        <w:rPr>
          <w:b/>
          <w:color w:val="000000" w:themeColor="text1"/>
        </w:rPr>
        <w:t>É</w:t>
      </w:r>
      <w:r w:rsidR="00BC4620" w:rsidRPr="00BC4620">
        <w:rPr>
          <w:b/>
          <w:color w:val="000000" w:themeColor="text1"/>
        </w:rPr>
        <w:t>LIB</w:t>
      </w:r>
      <w:r w:rsidR="007419BA">
        <w:rPr>
          <w:b/>
          <w:color w:val="000000" w:themeColor="text1"/>
        </w:rPr>
        <w:t>É</w:t>
      </w:r>
      <w:r w:rsidR="00BC4620" w:rsidRPr="00BC4620">
        <w:rPr>
          <w:b/>
          <w:color w:val="000000" w:themeColor="text1"/>
        </w:rPr>
        <w:t xml:space="preserve">RATION RELATIVE </w:t>
      </w:r>
      <w:r w:rsidR="007419BA">
        <w:rPr>
          <w:b/>
          <w:color w:val="000000" w:themeColor="text1"/>
        </w:rPr>
        <w:t>À</w:t>
      </w:r>
      <w:r w:rsidR="00BC4620" w:rsidRPr="00BC4620">
        <w:rPr>
          <w:b/>
          <w:color w:val="000000" w:themeColor="text1"/>
        </w:rPr>
        <w:t xml:space="preserve"> LA MISE EN PLACE DU R</w:t>
      </w:r>
      <w:r w:rsidR="007419BA">
        <w:rPr>
          <w:b/>
          <w:color w:val="000000" w:themeColor="text1"/>
        </w:rPr>
        <w:t>É</w:t>
      </w:r>
      <w:r w:rsidR="00BC4620" w:rsidRPr="00BC4620">
        <w:rPr>
          <w:b/>
          <w:color w:val="000000" w:themeColor="text1"/>
        </w:rPr>
        <w:t>GIME INDEMNITAIRE TENANT COMPTE DES FONCTIONS, DES SUJETIONS</w:t>
      </w:r>
      <w:r w:rsidR="00787EA9">
        <w:rPr>
          <w:b/>
          <w:color w:val="000000" w:themeColor="text1"/>
        </w:rPr>
        <w:t>,</w:t>
      </w:r>
      <w:r w:rsidR="00BC4620" w:rsidRPr="00BC4620">
        <w:rPr>
          <w:b/>
          <w:color w:val="000000" w:themeColor="text1"/>
        </w:rPr>
        <w:t xml:space="preserve"> DE L’EXPERTISE ET DE L’ENGAGEMENT PROFESSIONNEL</w:t>
      </w:r>
    </w:p>
    <w:p w14:paraId="10E4CEA7" w14:textId="77777777" w:rsidR="004765FF" w:rsidRPr="005D692E" w:rsidRDefault="004765FF" w:rsidP="00BC4620">
      <w:pPr>
        <w:jc w:val="center"/>
        <w:rPr>
          <w:b/>
          <w:i/>
          <w:iCs/>
          <w:color w:val="000000" w:themeColor="text1"/>
        </w:rPr>
      </w:pPr>
    </w:p>
    <w:p w14:paraId="3ECCF6BF" w14:textId="4E098DA6" w:rsidR="00BC4620" w:rsidRPr="005D692E" w:rsidRDefault="004765FF" w:rsidP="005D692E">
      <w:pPr>
        <w:pStyle w:val="Sansinterligne"/>
        <w:jc w:val="both"/>
        <w:rPr>
          <w:i/>
          <w:iCs/>
        </w:rPr>
      </w:pPr>
      <w:r w:rsidRPr="005D692E">
        <w:rPr>
          <w:i/>
          <w:iCs/>
          <w:highlight w:val="cyan"/>
        </w:rPr>
        <w:t>Ce document est un modèle de délibération. Les parties surlignées en jaune sont à compléter et/ou modifier en fonction de votre situation. Dans certains articles, il vous appartient d’opérer un choix, des indications</w:t>
      </w:r>
      <w:r w:rsidR="005D692E">
        <w:rPr>
          <w:i/>
          <w:iCs/>
          <w:highlight w:val="cyan"/>
        </w:rPr>
        <w:t xml:space="preserve"> </w:t>
      </w:r>
      <w:r w:rsidRPr="005D692E">
        <w:rPr>
          <w:i/>
          <w:iCs/>
          <w:highlight w:val="cyan"/>
        </w:rPr>
        <w:t>en italiques vous permettent de faire un choix en fonction de l’état du droit</w:t>
      </w:r>
      <w:r w:rsidRPr="005D692E">
        <w:rPr>
          <w:i/>
          <w:iCs/>
        </w:rPr>
        <w:t>.</w:t>
      </w:r>
      <w:r w:rsidR="005D692E" w:rsidRPr="005D692E">
        <w:rPr>
          <w:i/>
          <w:iCs/>
        </w:rPr>
        <w:t xml:space="preserve"> </w:t>
      </w:r>
    </w:p>
    <w:p w14:paraId="3DE4DF3F" w14:textId="441B8430" w:rsidR="005D692E" w:rsidRDefault="005D692E" w:rsidP="005D692E">
      <w:pPr>
        <w:pStyle w:val="Sansinterligne"/>
        <w:jc w:val="both"/>
        <w:rPr>
          <w:i/>
          <w:iCs/>
        </w:rPr>
      </w:pPr>
      <w:r w:rsidRPr="005D692E">
        <w:rPr>
          <w:i/>
          <w:iCs/>
          <w:highlight w:val="cyan"/>
        </w:rPr>
        <w:t>Le surlignage en jaune et les indications en italiques ont à supprimer lors de l’envoi de votre délibération.</w:t>
      </w:r>
      <w:r w:rsidRPr="005D692E">
        <w:rPr>
          <w:i/>
          <w:iCs/>
        </w:rPr>
        <w:t xml:space="preserve"> </w:t>
      </w:r>
    </w:p>
    <w:p w14:paraId="6264A40A" w14:textId="77777777" w:rsidR="005D692E" w:rsidRPr="005D692E" w:rsidRDefault="005D692E" w:rsidP="005D692E">
      <w:pPr>
        <w:pStyle w:val="Sansinterligne"/>
        <w:rPr>
          <w:i/>
          <w:iCs/>
        </w:rPr>
      </w:pPr>
    </w:p>
    <w:p w14:paraId="5822C1CC" w14:textId="77777777" w:rsidR="00BC4620" w:rsidRDefault="00BC4620" w:rsidP="00BC4620">
      <w:pPr>
        <w:jc w:val="both"/>
        <w:rPr>
          <w:color w:val="000000" w:themeColor="text1"/>
        </w:rPr>
      </w:pPr>
      <w:r>
        <w:rPr>
          <w:color w:val="000000" w:themeColor="text1"/>
        </w:rPr>
        <w:t>Vu le Code Général de la Fo</w:t>
      </w:r>
      <w:r w:rsidR="00C4253D">
        <w:rPr>
          <w:color w:val="000000" w:themeColor="text1"/>
        </w:rPr>
        <w:t>nction Publique, notamment ses</w:t>
      </w:r>
      <w:r>
        <w:rPr>
          <w:color w:val="000000" w:themeColor="text1"/>
        </w:rPr>
        <w:t xml:space="preserve"> article</w:t>
      </w:r>
      <w:r w:rsidR="00C4253D">
        <w:rPr>
          <w:color w:val="000000" w:themeColor="text1"/>
        </w:rPr>
        <w:t xml:space="preserve">s L.712-1 et </w:t>
      </w:r>
      <w:r>
        <w:rPr>
          <w:color w:val="000000" w:themeColor="text1"/>
        </w:rPr>
        <w:t xml:space="preserve">L.714-4 à L.714-13, </w:t>
      </w:r>
    </w:p>
    <w:p w14:paraId="487182BB" w14:textId="77777777" w:rsidR="00BC4620" w:rsidRDefault="00BC4620" w:rsidP="00BC4620">
      <w:pPr>
        <w:jc w:val="both"/>
        <w:rPr>
          <w:color w:val="000000" w:themeColor="text1"/>
        </w:rPr>
      </w:pPr>
      <w:r>
        <w:rPr>
          <w:color w:val="000000" w:themeColor="text1"/>
        </w:rPr>
        <w:t xml:space="preserve">Vu le décret n°91-875 du 6 septembre 1991 pris pour l’application du premier alinéa de l’article 88 de la loi du 26 janvier 1984, </w:t>
      </w:r>
    </w:p>
    <w:p w14:paraId="115B5F10" w14:textId="3802EFB1" w:rsidR="00122FA3" w:rsidRDefault="00122FA3" w:rsidP="00BC4620">
      <w:pPr>
        <w:jc w:val="both"/>
        <w:rPr>
          <w:color w:val="000000" w:themeColor="text1"/>
        </w:rPr>
      </w:pPr>
      <w:r>
        <w:rPr>
          <w:color w:val="000000" w:themeColor="text1"/>
        </w:rPr>
        <w:t xml:space="preserve">Vu le décret n°2010-997 du 26 août 2010 modifié relatif au régime de maintien des primes et indemnités des agents publics de l’Etat et des magistrats de l’ordre judiciaire dans certaines situations de congés, </w:t>
      </w:r>
    </w:p>
    <w:p w14:paraId="45B10EAF" w14:textId="77777777" w:rsidR="00BC4620" w:rsidRDefault="00BC4620" w:rsidP="00BC4620">
      <w:pPr>
        <w:jc w:val="both"/>
        <w:rPr>
          <w:color w:val="000000" w:themeColor="text1"/>
        </w:rPr>
      </w:pPr>
      <w:r>
        <w:rPr>
          <w:color w:val="000000" w:themeColor="text1"/>
        </w:rPr>
        <w:t>Vu le décret n°2014-513 du 20 mai 2014 portant création d’un régime indemnitaire tenant compte des fonctions, des sujétions, de l’expertise et de l’engagement professionnel</w:t>
      </w:r>
      <w:r w:rsidR="00C4253D">
        <w:rPr>
          <w:color w:val="000000" w:themeColor="text1"/>
        </w:rPr>
        <w:t xml:space="preserve"> dans la Fonction P</w:t>
      </w:r>
      <w:r>
        <w:rPr>
          <w:color w:val="000000" w:themeColor="text1"/>
        </w:rPr>
        <w:t>ublique de l’</w:t>
      </w:r>
      <w:r w:rsidR="00C4253D">
        <w:rPr>
          <w:color w:val="000000" w:themeColor="text1"/>
        </w:rPr>
        <w:t xml:space="preserve">Etat et ses arrêtés d’applications, </w:t>
      </w:r>
    </w:p>
    <w:p w14:paraId="348D25BE" w14:textId="77777777" w:rsidR="00BC4620" w:rsidRDefault="00BC4620" w:rsidP="00BC4620">
      <w:pPr>
        <w:jc w:val="both"/>
        <w:rPr>
          <w:color w:val="000000" w:themeColor="text1"/>
        </w:rPr>
      </w:pPr>
      <w:r>
        <w:rPr>
          <w:color w:val="000000" w:themeColor="text1"/>
        </w:rPr>
        <w:t xml:space="preserve">Vu le décret n°2014-1526 du 16 décembre 2014 relatif à l’appréciation de la valeur professionnelle des fonctionnaires territoriaux, </w:t>
      </w:r>
    </w:p>
    <w:p w14:paraId="25EDBF85" w14:textId="77777777" w:rsidR="00BC4620" w:rsidRDefault="00BC4620" w:rsidP="00BC4620">
      <w:pPr>
        <w:jc w:val="both"/>
        <w:rPr>
          <w:color w:val="000000" w:themeColor="text1"/>
        </w:rPr>
      </w:pPr>
      <w:r>
        <w:rPr>
          <w:color w:val="000000" w:themeColor="text1"/>
        </w:rPr>
        <w:t xml:space="preserve">Vu l’arrêté ministériel du 27 août 2015 pris pour l’application de l’article 5 du décret n°2014-513 portant création d’un régime indemnitaire tenant compte des fonctions, des sujétions, de l’expertise et de l’engagement professionnel dans la fonction publique de l’Etat, </w:t>
      </w:r>
    </w:p>
    <w:p w14:paraId="2CD90E76" w14:textId="77777777" w:rsidR="00BC4620" w:rsidRPr="004765FF" w:rsidRDefault="00BC4620" w:rsidP="00BC4620">
      <w:pPr>
        <w:jc w:val="both"/>
        <w:rPr>
          <w:i/>
          <w:iCs/>
          <w:color w:val="000000" w:themeColor="text1"/>
        </w:rPr>
      </w:pPr>
      <w:r>
        <w:rPr>
          <w:color w:val="000000" w:themeColor="text1"/>
        </w:rPr>
        <w:t xml:space="preserve">Vu l’arrêté ministériel pris pour l’application au corps des </w:t>
      </w:r>
      <w:r w:rsidRPr="004765FF">
        <w:rPr>
          <w:color w:val="000000" w:themeColor="text1"/>
          <w:highlight w:val="yellow"/>
        </w:rPr>
        <w:t>………………………………………………</w:t>
      </w:r>
      <w:proofErr w:type="gramStart"/>
      <w:r w:rsidRPr="004765FF">
        <w:rPr>
          <w:color w:val="000000" w:themeColor="text1"/>
          <w:highlight w:val="yellow"/>
        </w:rPr>
        <w:t>…</w:t>
      </w:r>
      <w:r>
        <w:rPr>
          <w:color w:val="000000" w:themeColor="text1"/>
        </w:rPr>
        <w:t>(</w:t>
      </w:r>
      <w:proofErr w:type="spellStart"/>
      <w:proofErr w:type="gramEnd"/>
      <w:r w:rsidRPr="004765FF">
        <w:rPr>
          <w:i/>
          <w:iCs/>
          <w:color w:val="000000" w:themeColor="text1"/>
        </w:rPr>
        <w:t>cf</w:t>
      </w:r>
      <w:proofErr w:type="spellEnd"/>
      <w:r w:rsidRPr="004765FF">
        <w:rPr>
          <w:i/>
          <w:iCs/>
          <w:color w:val="000000" w:themeColor="text1"/>
        </w:rPr>
        <w:t xml:space="preserve"> tableau montants plafonds), </w:t>
      </w:r>
    </w:p>
    <w:p w14:paraId="1E0C80BD" w14:textId="77777777" w:rsidR="00BC4620" w:rsidRDefault="00BC4620" w:rsidP="00BC4620">
      <w:pPr>
        <w:jc w:val="both"/>
        <w:rPr>
          <w:color w:val="000000" w:themeColor="text1"/>
        </w:rPr>
      </w:pPr>
      <w:r>
        <w:rPr>
          <w:color w:val="000000" w:themeColor="text1"/>
        </w:rPr>
        <w:t xml:space="preserve">Considérant que le nouveau régime indemnitaire tenant compte des fonctions, des sujétions, de l’expertise et de l’engagement professionnel est composé des deux parts suivantes : </w:t>
      </w:r>
    </w:p>
    <w:p w14:paraId="60B38B28" w14:textId="77777777" w:rsidR="00BC4620" w:rsidRDefault="00BC4620" w:rsidP="00BC4620">
      <w:pPr>
        <w:ind w:left="708"/>
        <w:jc w:val="both"/>
        <w:rPr>
          <w:color w:val="000000" w:themeColor="text1"/>
        </w:rPr>
      </w:pPr>
      <w:r>
        <w:rPr>
          <w:color w:val="000000" w:themeColor="text1"/>
        </w:rPr>
        <w:t xml:space="preserve">-l’indemnité de fonctions de sujétions et d’expertise (IFSE) qui vise à valoriser l’exercice des </w:t>
      </w:r>
      <w:r w:rsidR="00C4253D">
        <w:rPr>
          <w:color w:val="000000" w:themeColor="text1"/>
        </w:rPr>
        <w:t xml:space="preserve">fonctions qui constitue </w:t>
      </w:r>
      <w:r>
        <w:rPr>
          <w:color w:val="000000" w:themeColor="text1"/>
        </w:rPr>
        <w:t xml:space="preserve">l’indemnité principale du régime indemnitaire </w:t>
      </w:r>
    </w:p>
    <w:p w14:paraId="62EE55B8" w14:textId="77777777" w:rsidR="00BC4620" w:rsidRDefault="00BC4620" w:rsidP="00BC4620">
      <w:pPr>
        <w:ind w:left="708"/>
        <w:jc w:val="both"/>
        <w:rPr>
          <w:color w:val="000000" w:themeColor="text1"/>
        </w:rPr>
      </w:pPr>
      <w:r>
        <w:rPr>
          <w:color w:val="000000" w:themeColor="text1"/>
        </w:rPr>
        <w:t>-le complément indemnitaire annuel (CIA) lié à l’engagement professionnel et à la manière de servir</w:t>
      </w:r>
    </w:p>
    <w:p w14:paraId="6C5B6C07" w14:textId="77777777" w:rsidR="00BC4620" w:rsidRDefault="00BC4620" w:rsidP="00BC4620">
      <w:pPr>
        <w:jc w:val="both"/>
        <w:rPr>
          <w:color w:val="000000" w:themeColor="text1"/>
        </w:rPr>
      </w:pPr>
      <w:r>
        <w:rPr>
          <w:color w:val="000000" w:themeColor="text1"/>
        </w:rPr>
        <w:t xml:space="preserve">Considérant qu’il appartient à l’assemblée de fixer la nature, les plafonds et les conditions d’attribution des primes et indemnités, </w:t>
      </w:r>
    </w:p>
    <w:p w14:paraId="27D54412" w14:textId="1A32FB71" w:rsidR="00C4253D" w:rsidRPr="00C4253D" w:rsidRDefault="00C4253D" w:rsidP="00C4253D">
      <w:pPr>
        <w:jc w:val="both"/>
        <w:rPr>
          <w:color w:val="000000" w:themeColor="text1"/>
        </w:rPr>
      </w:pPr>
      <w:r w:rsidRPr="00C4253D">
        <w:rPr>
          <w:color w:val="000000" w:themeColor="text1"/>
        </w:rPr>
        <w:t xml:space="preserve">Vu l’avis du comité </w:t>
      </w:r>
      <w:r w:rsidR="00122FA3">
        <w:rPr>
          <w:color w:val="000000" w:themeColor="text1"/>
        </w:rPr>
        <w:t>social territorial</w:t>
      </w:r>
      <w:r w:rsidRPr="00C4253D">
        <w:rPr>
          <w:color w:val="000000" w:themeColor="text1"/>
        </w:rPr>
        <w:t xml:space="preserve"> en date</w:t>
      </w:r>
      <w:r w:rsidR="00122FA3">
        <w:rPr>
          <w:color w:val="000000" w:themeColor="text1"/>
        </w:rPr>
        <w:t xml:space="preserve"> du </w:t>
      </w:r>
      <w:r w:rsidRPr="004765FF">
        <w:rPr>
          <w:color w:val="000000" w:themeColor="text1"/>
          <w:highlight w:val="yellow"/>
        </w:rPr>
        <w:t>……………………………………</w:t>
      </w:r>
      <w:r w:rsidR="00122FA3">
        <w:rPr>
          <w:color w:val="000000" w:themeColor="text1"/>
        </w:rPr>
        <w:t>,</w:t>
      </w:r>
    </w:p>
    <w:p w14:paraId="3BA13A03" w14:textId="0557729A" w:rsidR="00BC4620" w:rsidRPr="004765FF" w:rsidRDefault="00C4253D" w:rsidP="00BC4620">
      <w:pPr>
        <w:jc w:val="both"/>
        <w:rPr>
          <w:b/>
          <w:i/>
          <w:iCs/>
          <w:color w:val="000000" w:themeColor="text1"/>
        </w:rPr>
      </w:pPr>
      <w:r w:rsidRPr="00C4253D">
        <w:rPr>
          <w:b/>
          <w:color w:val="000000" w:themeColor="text1"/>
        </w:rPr>
        <w:t xml:space="preserve">APRÈS EN AVOIR DÉLIBÉRÉ, </w:t>
      </w:r>
      <w:r w:rsidRPr="004765FF">
        <w:rPr>
          <w:b/>
          <w:i/>
          <w:iCs/>
          <w:color w:val="000000" w:themeColor="text1"/>
          <w:highlight w:val="yellow"/>
        </w:rPr>
        <w:t xml:space="preserve">LE CONSEIL </w:t>
      </w:r>
      <w:r w:rsidR="00122FA3" w:rsidRPr="004765FF">
        <w:rPr>
          <w:b/>
          <w:i/>
          <w:iCs/>
          <w:color w:val="000000" w:themeColor="text1"/>
          <w:highlight w:val="yellow"/>
        </w:rPr>
        <w:t>MUNICIPAL/ LE CONSEIL COMMUNAUTAIRE, LE CONSEIL SYNDICAL</w:t>
      </w:r>
      <w:r w:rsidRPr="004765FF">
        <w:rPr>
          <w:b/>
          <w:i/>
          <w:iCs/>
          <w:color w:val="000000" w:themeColor="text1"/>
          <w:highlight w:val="yellow"/>
        </w:rPr>
        <w:t>,</w:t>
      </w:r>
      <w:r w:rsidR="00122FA3" w:rsidRPr="004765FF">
        <w:rPr>
          <w:b/>
          <w:i/>
          <w:iCs/>
          <w:color w:val="000000" w:themeColor="text1"/>
          <w:highlight w:val="yellow"/>
        </w:rPr>
        <w:t>………………….. ,</w:t>
      </w:r>
    </w:p>
    <w:p w14:paraId="333B45E7" w14:textId="14E04DE8" w:rsidR="00787EA9" w:rsidRDefault="00C4253D" w:rsidP="00BC4620">
      <w:pPr>
        <w:jc w:val="both"/>
        <w:rPr>
          <w:color w:val="000000" w:themeColor="text1"/>
        </w:rPr>
      </w:pPr>
      <w:r w:rsidRPr="00C4253D">
        <w:rPr>
          <w:b/>
          <w:color w:val="000000" w:themeColor="text1"/>
          <w:u w:val="single"/>
        </w:rPr>
        <w:t>ARTICLE 1</w:t>
      </w:r>
      <w:r>
        <w:rPr>
          <w:color w:val="000000" w:themeColor="text1"/>
        </w:rPr>
        <w:t xml:space="preserve"> </w:t>
      </w:r>
      <w:r w:rsidR="00787EA9">
        <w:rPr>
          <w:color w:val="000000" w:themeColor="text1"/>
        </w:rPr>
        <w:t xml:space="preserve">– DECIDE </w:t>
      </w:r>
      <w:r>
        <w:rPr>
          <w:color w:val="000000" w:themeColor="text1"/>
        </w:rPr>
        <w:t xml:space="preserve">de </w:t>
      </w:r>
      <w:r w:rsidR="00787EA9">
        <w:rPr>
          <w:color w:val="000000" w:themeColor="text1"/>
        </w:rPr>
        <w:t>l’instauration du régime indemnitaire tenant compte des fonctions, des sujétions, de l’expertise et de l’engagement professionnel suivant les modalités définies aux articles suivants.</w:t>
      </w:r>
    </w:p>
    <w:p w14:paraId="03F58D55" w14:textId="658E2F7A" w:rsidR="00787EA9" w:rsidRPr="004765FF" w:rsidRDefault="00C4253D" w:rsidP="00BC4620">
      <w:pPr>
        <w:jc w:val="both"/>
        <w:rPr>
          <w:i/>
          <w:iCs/>
          <w:color w:val="000000" w:themeColor="text1"/>
        </w:rPr>
      </w:pPr>
      <w:r w:rsidRPr="00C4253D">
        <w:rPr>
          <w:b/>
          <w:color w:val="000000" w:themeColor="text1"/>
          <w:u w:val="single"/>
        </w:rPr>
        <w:lastRenderedPageBreak/>
        <w:t>ARTICLE 2</w:t>
      </w:r>
      <w:r>
        <w:rPr>
          <w:color w:val="000000" w:themeColor="text1"/>
        </w:rPr>
        <w:t xml:space="preserve"> </w:t>
      </w:r>
      <w:r w:rsidR="00787EA9">
        <w:rPr>
          <w:color w:val="000000" w:themeColor="text1"/>
        </w:rPr>
        <w:t>– D</w:t>
      </w:r>
      <w:r w:rsidR="007419BA">
        <w:rPr>
          <w:color w:val="000000" w:themeColor="text1"/>
        </w:rPr>
        <w:t>É</w:t>
      </w:r>
      <w:r w:rsidR="00787EA9">
        <w:rPr>
          <w:color w:val="000000" w:themeColor="text1"/>
        </w:rPr>
        <w:t xml:space="preserve">CIDE que peuvent bénéficier du régime indemnitaire : </w:t>
      </w:r>
      <w:r w:rsidR="00AA09EA">
        <w:rPr>
          <w:color w:val="000000" w:themeColor="text1"/>
        </w:rPr>
        <w:t>(</w:t>
      </w:r>
      <w:r w:rsidR="00AA09EA" w:rsidRPr="004765FF">
        <w:rPr>
          <w:i/>
          <w:iCs/>
          <w:color w:val="000000" w:themeColor="text1"/>
        </w:rPr>
        <w:t>bénéficiaire</w:t>
      </w:r>
      <w:r w:rsidR="004765FF">
        <w:rPr>
          <w:i/>
          <w:iCs/>
          <w:color w:val="000000" w:themeColor="text1"/>
        </w:rPr>
        <w:t>s</w:t>
      </w:r>
      <w:r w:rsidR="00AA09EA" w:rsidRPr="004765FF">
        <w:rPr>
          <w:i/>
          <w:iCs/>
          <w:color w:val="000000" w:themeColor="text1"/>
        </w:rPr>
        <w:t xml:space="preserve"> à choisir en tout ou partie)</w:t>
      </w:r>
    </w:p>
    <w:p w14:paraId="6E28476A" w14:textId="179A0D9C" w:rsidR="004765FF" w:rsidRDefault="00787EA9" w:rsidP="00787EA9">
      <w:pPr>
        <w:pStyle w:val="Paragraphedeliste"/>
        <w:numPr>
          <w:ilvl w:val="0"/>
          <w:numId w:val="1"/>
        </w:numPr>
        <w:jc w:val="both"/>
        <w:rPr>
          <w:color w:val="000000" w:themeColor="text1"/>
        </w:rPr>
      </w:pPr>
      <w:r>
        <w:rPr>
          <w:color w:val="000000" w:themeColor="text1"/>
        </w:rPr>
        <w:t xml:space="preserve">Les fonctionnaires titulaires </w:t>
      </w:r>
      <w:r w:rsidR="005D692E">
        <w:rPr>
          <w:color w:val="000000" w:themeColor="text1"/>
        </w:rPr>
        <w:t>à temps complet, temps non complet ou à temps partiel</w:t>
      </w:r>
    </w:p>
    <w:p w14:paraId="7E3BA442" w14:textId="12472165" w:rsidR="00787EA9" w:rsidRDefault="004765FF" w:rsidP="00787EA9">
      <w:pPr>
        <w:pStyle w:val="Paragraphedeliste"/>
        <w:numPr>
          <w:ilvl w:val="0"/>
          <w:numId w:val="1"/>
        </w:numPr>
        <w:jc w:val="both"/>
        <w:rPr>
          <w:color w:val="000000" w:themeColor="text1"/>
        </w:rPr>
      </w:pPr>
      <w:r>
        <w:rPr>
          <w:color w:val="000000" w:themeColor="text1"/>
        </w:rPr>
        <w:t xml:space="preserve">Les fonctionnaires </w:t>
      </w:r>
      <w:r w:rsidR="00787EA9">
        <w:rPr>
          <w:color w:val="000000" w:themeColor="text1"/>
        </w:rPr>
        <w:t xml:space="preserve">stagiaires </w:t>
      </w:r>
      <w:r w:rsidR="00C4253D">
        <w:rPr>
          <w:color w:val="000000" w:themeColor="text1"/>
        </w:rPr>
        <w:t>à</w:t>
      </w:r>
      <w:r w:rsidR="00787EA9">
        <w:rPr>
          <w:color w:val="000000" w:themeColor="text1"/>
        </w:rPr>
        <w:t xml:space="preserve"> temps complet, temps non complet ou à temps partiel </w:t>
      </w:r>
    </w:p>
    <w:p w14:paraId="51196286" w14:textId="68E85BDB" w:rsidR="00C4253D" w:rsidRDefault="00787EA9" w:rsidP="00787EA9">
      <w:pPr>
        <w:pStyle w:val="Paragraphedeliste"/>
        <w:numPr>
          <w:ilvl w:val="0"/>
          <w:numId w:val="1"/>
        </w:numPr>
        <w:jc w:val="both"/>
        <w:rPr>
          <w:color w:val="000000" w:themeColor="text1"/>
        </w:rPr>
      </w:pPr>
      <w:r>
        <w:rPr>
          <w:color w:val="000000" w:themeColor="text1"/>
        </w:rPr>
        <w:t>Les agents contractuels de droit public à temps complet, temps non complet</w:t>
      </w:r>
      <w:r w:rsidR="00C4253D">
        <w:rPr>
          <w:color w:val="000000" w:themeColor="text1"/>
        </w:rPr>
        <w:t xml:space="preserve"> ou à temps partiel. *</w:t>
      </w:r>
      <w:r w:rsidR="00AA09EA">
        <w:rPr>
          <w:color w:val="000000" w:themeColor="text1"/>
        </w:rPr>
        <w:t xml:space="preserve"> </w:t>
      </w:r>
    </w:p>
    <w:p w14:paraId="2AE0CDAF" w14:textId="1501BAE1" w:rsidR="00787EA9" w:rsidRPr="00C4253D" w:rsidRDefault="00C4253D" w:rsidP="00C4253D">
      <w:pPr>
        <w:jc w:val="both"/>
        <w:rPr>
          <w:i/>
          <w:color w:val="000000" w:themeColor="text1"/>
        </w:rPr>
      </w:pPr>
      <w:r>
        <w:rPr>
          <w:i/>
          <w:color w:val="000000" w:themeColor="text1"/>
        </w:rPr>
        <w:t>*</w:t>
      </w:r>
      <w:r w:rsidR="00787EA9" w:rsidRPr="00C4253D">
        <w:rPr>
          <w:i/>
          <w:color w:val="000000" w:themeColor="text1"/>
        </w:rPr>
        <w:t xml:space="preserve">Les agents </w:t>
      </w:r>
      <w:r w:rsidRPr="00C4253D">
        <w:rPr>
          <w:i/>
          <w:color w:val="000000" w:themeColor="text1"/>
        </w:rPr>
        <w:t>contractuels</w:t>
      </w:r>
      <w:r w:rsidR="00787EA9" w:rsidRPr="00C4253D">
        <w:rPr>
          <w:i/>
          <w:color w:val="000000" w:themeColor="text1"/>
        </w:rPr>
        <w:t xml:space="preserve"> de droit privé ne peuvent pas bénéficier du RIFSEEP. Possibilité de </w:t>
      </w:r>
      <w:r w:rsidR="00AA09EA">
        <w:rPr>
          <w:color w:val="000000" w:themeColor="text1"/>
        </w:rPr>
        <w:t>définir des critères d’éligibilité suivant le type de contrat et/ou la durée du contrat</w:t>
      </w:r>
      <w:r w:rsidR="00AA09EA">
        <w:rPr>
          <w:i/>
          <w:color w:val="000000" w:themeColor="text1"/>
        </w:rPr>
        <w:t xml:space="preserve"> par exemple et/ou l’ancienneté</w:t>
      </w:r>
      <w:r>
        <w:rPr>
          <w:i/>
          <w:color w:val="000000" w:themeColor="text1"/>
        </w:rPr>
        <w:t xml:space="preserve">. </w:t>
      </w:r>
    </w:p>
    <w:p w14:paraId="0D3F6D06" w14:textId="07B7C115" w:rsidR="00787EA9" w:rsidRPr="005D692E" w:rsidRDefault="00787EA9" w:rsidP="00787EA9">
      <w:pPr>
        <w:jc w:val="both"/>
        <w:rPr>
          <w:i/>
          <w:iCs/>
          <w:color w:val="000000" w:themeColor="text1"/>
        </w:rPr>
      </w:pPr>
      <w:r>
        <w:rPr>
          <w:color w:val="000000" w:themeColor="text1"/>
        </w:rPr>
        <w:t>Les cadres d’emplois concernés par le RIFSEEP sont </w:t>
      </w:r>
      <w:r w:rsidRPr="005D692E">
        <w:rPr>
          <w:color w:val="000000" w:themeColor="text1"/>
        </w:rPr>
        <w:t>(</w:t>
      </w:r>
      <w:r w:rsidRPr="005D692E">
        <w:rPr>
          <w:i/>
          <w:iCs/>
          <w:color w:val="000000" w:themeColor="text1"/>
        </w:rPr>
        <w:t>indiquer les cadres d’emplois concernés dans la collectivité</w:t>
      </w:r>
      <w:r w:rsidR="005D692E">
        <w:rPr>
          <w:i/>
          <w:iCs/>
          <w:color w:val="000000" w:themeColor="text1"/>
        </w:rPr>
        <w:t>, le RIFSEEP doit être instauré pour tous les cadres d’emplois présents dans la collectivité</w:t>
      </w:r>
      <w:r w:rsidRPr="005D692E">
        <w:rPr>
          <w:i/>
          <w:iCs/>
          <w:color w:val="000000" w:themeColor="text1"/>
        </w:rPr>
        <w:t xml:space="preserve">) : </w:t>
      </w:r>
    </w:p>
    <w:p w14:paraId="5546265E" w14:textId="77777777" w:rsidR="00787EA9" w:rsidRPr="005D692E" w:rsidRDefault="00787EA9" w:rsidP="00787EA9">
      <w:pPr>
        <w:pStyle w:val="Paragraphedeliste"/>
        <w:numPr>
          <w:ilvl w:val="0"/>
          <w:numId w:val="3"/>
        </w:numPr>
        <w:jc w:val="both"/>
        <w:rPr>
          <w:color w:val="000000" w:themeColor="text1"/>
          <w:highlight w:val="yellow"/>
        </w:rPr>
      </w:pPr>
      <w:r w:rsidRPr="005D692E">
        <w:rPr>
          <w:color w:val="000000" w:themeColor="text1"/>
          <w:highlight w:val="yellow"/>
        </w:rPr>
        <w:t>…</w:t>
      </w:r>
    </w:p>
    <w:p w14:paraId="7F3ABDE9" w14:textId="77777777" w:rsidR="00787EA9" w:rsidRPr="005D692E" w:rsidRDefault="00787EA9" w:rsidP="00787EA9">
      <w:pPr>
        <w:pStyle w:val="Paragraphedeliste"/>
        <w:numPr>
          <w:ilvl w:val="0"/>
          <w:numId w:val="3"/>
        </w:numPr>
        <w:jc w:val="both"/>
        <w:rPr>
          <w:color w:val="000000" w:themeColor="text1"/>
          <w:highlight w:val="yellow"/>
        </w:rPr>
      </w:pPr>
      <w:r w:rsidRPr="005D692E">
        <w:rPr>
          <w:color w:val="000000" w:themeColor="text1"/>
          <w:highlight w:val="yellow"/>
        </w:rPr>
        <w:t>…</w:t>
      </w:r>
    </w:p>
    <w:p w14:paraId="0B9484B7" w14:textId="77777777" w:rsidR="00787EA9" w:rsidRPr="005D692E" w:rsidRDefault="00787EA9" w:rsidP="00BC4620">
      <w:pPr>
        <w:pStyle w:val="Paragraphedeliste"/>
        <w:numPr>
          <w:ilvl w:val="0"/>
          <w:numId w:val="3"/>
        </w:numPr>
        <w:jc w:val="both"/>
        <w:rPr>
          <w:color w:val="000000" w:themeColor="text1"/>
          <w:highlight w:val="yellow"/>
        </w:rPr>
      </w:pPr>
      <w:r w:rsidRPr="005D692E">
        <w:rPr>
          <w:color w:val="000000" w:themeColor="text1"/>
          <w:highlight w:val="yellow"/>
        </w:rPr>
        <w:t>…</w:t>
      </w:r>
    </w:p>
    <w:p w14:paraId="5BB417B4" w14:textId="77777777" w:rsidR="00C4253D" w:rsidRPr="00C4253D" w:rsidRDefault="00C4253D" w:rsidP="00C4253D">
      <w:pPr>
        <w:pStyle w:val="Sansinterligne"/>
        <w:ind w:firstLine="360"/>
      </w:pPr>
    </w:p>
    <w:p w14:paraId="26FE2936" w14:textId="178DEC20" w:rsidR="007A3C34" w:rsidRPr="007A3C34" w:rsidRDefault="00C4253D" w:rsidP="007A3C34">
      <w:pPr>
        <w:jc w:val="both"/>
        <w:rPr>
          <w:color w:val="000000" w:themeColor="text1"/>
        </w:rPr>
      </w:pPr>
      <w:r w:rsidRPr="00C4253D">
        <w:rPr>
          <w:b/>
          <w:color w:val="000000" w:themeColor="text1"/>
          <w:u w:val="single"/>
        </w:rPr>
        <w:t xml:space="preserve">ARTICLE </w:t>
      </w:r>
      <w:r w:rsidR="0047191C">
        <w:rPr>
          <w:b/>
          <w:color w:val="000000" w:themeColor="text1"/>
          <w:u w:val="single"/>
        </w:rPr>
        <w:t xml:space="preserve">3 </w:t>
      </w:r>
      <w:r w:rsidR="00A63485">
        <w:rPr>
          <w:color w:val="000000" w:themeColor="text1"/>
        </w:rPr>
        <w:t>– D</w:t>
      </w:r>
      <w:r w:rsidR="007419BA">
        <w:rPr>
          <w:color w:val="000000" w:themeColor="text1"/>
        </w:rPr>
        <w:t>É</w:t>
      </w:r>
      <w:r w:rsidR="00A63485">
        <w:rPr>
          <w:color w:val="000000" w:themeColor="text1"/>
        </w:rPr>
        <w:t>FINIT comme suit les montants annuels maximum de l’indemnité tenant compte des fonctions, des sujétions, de l’expertise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1"/>
        <w:gridCol w:w="3807"/>
        <w:gridCol w:w="3118"/>
      </w:tblGrid>
      <w:tr w:rsidR="007A3C34" w:rsidRPr="007A3C34" w14:paraId="6B3F2BE2" w14:textId="77777777" w:rsidTr="007A3C34">
        <w:tc>
          <w:tcPr>
            <w:tcW w:w="2851" w:type="dxa"/>
            <w:shd w:val="clear" w:color="auto" w:fill="9CC2E5"/>
            <w:vAlign w:val="center"/>
          </w:tcPr>
          <w:p w14:paraId="7F7FC7C4" w14:textId="77777777" w:rsidR="007A3C34" w:rsidRPr="007A3C34" w:rsidRDefault="007A3C34" w:rsidP="007A3C34">
            <w:pPr>
              <w:spacing w:after="0" w:line="240" w:lineRule="auto"/>
              <w:jc w:val="center"/>
              <w:rPr>
                <w:rFonts w:ascii="Calibri" w:eastAsia="Calibri" w:hAnsi="Calibri" w:cs="Times New Roman"/>
              </w:rPr>
            </w:pPr>
            <w:r w:rsidRPr="007A3C34">
              <w:rPr>
                <w:rFonts w:ascii="Calibri" w:eastAsia="Calibri" w:hAnsi="Calibri" w:cs="Times New Roman"/>
              </w:rPr>
              <w:t>Groupe de fonctions</w:t>
            </w:r>
          </w:p>
        </w:tc>
        <w:tc>
          <w:tcPr>
            <w:tcW w:w="3807" w:type="dxa"/>
            <w:shd w:val="clear" w:color="auto" w:fill="9CC2E5"/>
            <w:vAlign w:val="center"/>
          </w:tcPr>
          <w:p w14:paraId="641FB186" w14:textId="77777777" w:rsidR="007A3C34" w:rsidRPr="007A3C34" w:rsidRDefault="007A3C34" w:rsidP="007A3C34">
            <w:pPr>
              <w:spacing w:after="0" w:line="240" w:lineRule="auto"/>
              <w:jc w:val="center"/>
              <w:rPr>
                <w:rFonts w:ascii="Calibri" w:eastAsia="Calibri" w:hAnsi="Calibri" w:cs="Times New Roman"/>
              </w:rPr>
            </w:pPr>
            <w:r>
              <w:rPr>
                <w:rFonts w:ascii="Calibri" w:eastAsia="Calibri" w:hAnsi="Calibri" w:cs="Times New Roman"/>
              </w:rPr>
              <w:t>Liste des fonctions-emplois dans la collectivité</w:t>
            </w:r>
          </w:p>
        </w:tc>
        <w:tc>
          <w:tcPr>
            <w:tcW w:w="3118" w:type="dxa"/>
            <w:shd w:val="clear" w:color="auto" w:fill="9CC2E5"/>
            <w:vAlign w:val="center"/>
          </w:tcPr>
          <w:p w14:paraId="2EEA3D51" w14:textId="77777777" w:rsidR="007A3C34" w:rsidRPr="007A3C34" w:rsidRDefault="007A3C34" w:rsidP="007A3C34">
            <w:pPr>
              <w:spacing w:after="0" w:line="240" w:lineRule="auto"/>
              <w:jc w:val="center"/>
              <w:rPr>
                <w:rFonts w:ascii="Calibri" w:eastAsia="Calibri" w:hAnsi="Calibri" w:cs="Times New Roman"/>
              </w:rPr>
            </w:pPr>
            <w:r w:rsidRPr="007A3C34">
              <w:rPr>
                <w:rFonts w:ascii="Calibri" w:eastAsia="Calibri" w:hAnsi="Calibri" w:cs="Times New Roman"/>
              </w:rPr>
              <w:t>Montants annuels maximum en euros</w:t>
            </w:r>
          </w:p>
        </w:tc>
      </w:tr>
      <w:tr w:rsidR="007A3C34" w:rsidRPr="007A3C34" w14:paraId="5906D223" w14:textId="77777777" w:rsidTr="007A3C34">
        <w:tc>
          <w:tcPr>
            <w:tcW w:w="9776" w:type="dxa"/>
            <w:gridSpan w:val="3"/>
            <w:shd w:val="clear" w:color="auto" w:fill="auto"/>
          </w:tcPr>
          <w:p w14:paraId="718366AC" w14:textId="77777777" w:rsidR="007A3C34" w:rsidRPr="007A3C34" w:rsidRDefault="007A3C34" w:rsidP="007A3C34">
            <w:pPr>
              <w:spacing w:after="0" w:line="240" w:lineRule="auto"/>
              <w:jc w:val="both"/>
              <w:rPr>
                <w:rFonts w:ascii="Calibri" w:eastAsia="Calibri" w:hAnsi="Calibri" w:cs="Times New Roman"/>
                <w:b/>
              </w:rPr>
            </w:pPr>
            <w:r w:rsidRPr="005D692E">
              <w:rPr>
                <w:rFonts w:ascii="Calibri" w:eastAsia="Calibri" w:hAnsi="Calibri" w:cs="Times New Roman"/>
                <w:b/>
                <w:highlight w:val="yellow"/>
              </w:rPr>
              <w:t>Cadre d’emploi</w:t>
            </w:r>
            <w:r>
              <w:rPr>
                <w:rFonts w:ascii="Calibri" w:eastAsia="Calibri" w:hAnsi="Calibri" w:cs="Times New Roman"/>
                <w:b/>
              </w:rPr>
              <w:t xml:space="preserve"> </w:t>
            </w:r>
          </w:p>
        </w:tc>
      </w:tr>
      <w:tr w:rsidR="007A3C34" w:rsidRPr="007A3C34" w14:paraId="1E6A780B" w14:textId="77777777" w:rsidTr="007A3C34">
        <w:tc>
          <w:tcPr>
            <w:tcW w:w="2851" w:type="dxa"/>
            <w:shd w:val="clear" w:color="auto" w:fill="auto"/>
          </w:tcPr>
          <w:p w14:paraId="75B87A14" w14:textId="77777777" w:rsidR="007A3C34" w:rsidRPr="007A3C34" w:rsidRDefault="007A3C34" w:rsidP="007A3C34">
            <w:pPr>
              <w:spacing w:after="0" w:line="240" w:lineRule="auto"/>
              <w:jc w:val="both"/>
              <w:rPr>
                <w:rFonts w:ascii="Calibri" w:eastAsia="Calibri" w:hAnsi="Calibri" w:cs="Times New Roman"/>
              </w:rPr>
            </w:pPr>
            <w:r w:rsidRPr="007A3C34">
              <w:rPr>
                <w:rFonts w:ascii="Calibri" w:eastAsia="Calibri" w:hAnsi="Calibri" w:cs="Times New Roman"/>
              </w:rPr>
              <w:t>Groupe 1</w:t>
            </w:r>
          </w:p>
        </w:tc>
        <w:tc>
          <w:tcPr>
            <w:tcW w:w="3807" w:type="dxa"/>
            <w:shd w:val="clear" w:color="auto" w:fill="auto"/>
            <w:vAlign w:val="center"/>
          </w:tcPr>
          <w:p w14:paraId="41304AA6" w14:textId="77777777" w:rsidR="007A3C34" w:rsidRPr="005D692E" w:rsidRDefault="007A3C34" w:rsidP="007A3C34">
            <w:pPr>
              <w:spacing w:after="0" w:line="240" w:lineRule="auto"/>
              <w:jc w:val="both"/>
              <w:rPr>
                <w:rFonts w:ascii="Calibri" w:eastAsia="Calibri" w:hAnsi="Calibri" w:cs="Times New Roman"/>
                <w:highlight w:val="yellow"/>
              </w:rPr>
            </w:pPr>
          </w:p>
        </w:tc>
        <w:tc>
          <w:tcPr>
            <w:tcW w:w="3118" w:type="dxa"/>
            <w:shd w:val="clear" w:color="auto" w:fill="auto"/>
          </w:tcPr>
          <w:p w14:paraId="74ACA608" w14:textId="77777777" w:rsidR="007A3C34" w:rsidRPr="005D692E" w:rsidRDefault="007A3C34" w:rsidP="007A3C34">
            <w:pPr>
              <w:spacing w:after="0" w:line="240" w:lineRule="auto"/>
              <w:jc w:val="both"/>
              <w:rPr>
                <w:rFonts w:ascii="Calibri" w:eastAsia="Calibri" w:hAnsi="Calibri" w:cs="Times New Roman"/>
                <w:highlight w:val="yellow"/>
              </w:rPr>
            </w:pPr>
          </w:p>
        </w:tc>
      </w:tr>
      <w:tr w:rsidR="007A3C34" w:rsidRPr="007A3C34" w14:paraId="05528F0F" w14:textId="77777777" w:rsidTr="007A3C34">
        <w:tc>
          <w:tcPr>
            <w:tcW w:w="2851" w:type="dxa"/>
            <w:shd w:val="clear" w:color="auto" w:fill="auto"/>
          </w:tcPr>
          <w:p w14:paraId="758C10A4" w14:textId="77777777" w:rsidR="007A3C34" w:rsidRPr="007A3C34" w:rsidRDefault="007A3C34" w:rsidP="007A3C34">
            <w:pPr>
              <w:spacing w:after="0" w:line="240" w:lineRule="auto"/>
              <w:jc w:val="both"/>
              <w:rPr>
                <w:rFonts w:ascii="Calibri" w:eastAsia="Calibri" w:hAnsi="Calibri" w:cs="Times New Roman"/>
              </w:rPr>
            </w:pPr>
            <w:r w:rsidRPr="007A3C34">
              <w:rPr>
                <w:rFonts w:ascii="Calibri" w:eastAsia="Calibri" w:hAnsi="Calibri" w:cs="Times New Roman"/>
              </w:rPr>
              <w:t>Groupe 2</w:t>
            </w:r>
          </w:p>
        </w:tc>
        <w:tc>
          <w:tcPr>
            <w:tcW w:w="3807" w:type="dxa"/>
            <w:shd w:val="clear" w:color="auto" w:fill="auto"/>
            <w:vAlign w:val="center"/>
          </w:tcPr>
          <w:p w14:paraId="19674AD5" w14:textId="77777777" w:rsidR="007A3C34" w:rsidRPr="005D692E" w:rsidRDefault="007A3C34" w:rsidP="007A3C34">
            <w:pPr>
              <w:spacing w:after="0" w:line="240" w:lineRule="auto"/>
              <w:jc w:val="both"/>
              <w:rPr>
                <w:rFonts w:ascii="Calibri" w:eastAsia="Calibri" w:hAnsi="Calibri" w:cs="Times New Roman"/>
                <w:highlight w:val="yellow"/>
              </w:rPr>
            </w:pPr>
          </w:p>
        </w:tc>
        <w:tc>
          <w:tcPr>
            <w:tcW w:w="3118" w:type="dxa"/>
            <w:shd w:val="clear" w:color="auto" w:fill="auto"/>
          </w:tcPr>
          <w:p w14:paraId="2AAE8C8C" w14:textId="77777777" w:rsidR="007A3C34" w:rsidRPr="005D692E" w:rsidRDefault="007A3C34" w:rsidP="007A3C34">
            <w:pPr>
              <w:spacing w:after="0" w:line="240" w:lineRule="auto"/>
              <w:jc w:val="both"/>
              <w:rPr>
                <w:rFonts w:ascii="Calibri" w:eastAsia="Calibri" w:hAnsi="Calibri" w:cs="Times New Roman"/>
                <w:highlight w:val="yellow"/>
              </w:rPr>
            </w:pPr>
          </w:p>
        </w:tc>
      </w:tr>
      <w:tr w:rsidR="007A3C34" w:rsidRPr="007A3C34" w14:paraId="55B4D93B" w14:textId="77777777" w:rsidTr="007A3C34">
        <w:tc>
          <w:tcPr>
            <w:tcW w:w="2851" w:type="dxa"/>
            <w:shd w:val="clear" w:color="auto" w:fill="auto"/>
          </w:tcPr>
          <w:p w14:paraId="4B46EEC4" w14:textId="77777777" w:rsidR="007A3C34" w:rsidRPr="007A3C34" w:rsidRDefault="007A3C34" w:rsidP="007A3C34">
            <w:pPr>
              <w:spacing w:after="0" w:line="240" w:lineRule="auto"/>
              <w:jc w:val="both"/>
              <w:rPr>
                <w:rFonts w:ascii="Calibri" w:eastAsia="Calibri" w:hAnsi="Calibri" w:cs="Times New Roman"/>
              </w:rPr>
            </w:pPr>
            <w:r>
              <w:rPr>
                <w:rFonts w:ascii="Calibri" w:eastAsia="Calibri" w:hAnsi="Calibri" w:cs="Times New Roman"/>
              </w:rPr>
              <w:t>Groupe 3</w:t>
            </w:r>
          </w:p>
        </w:tc>
        <w:tc>
          <w:tcPr>
            <w:tcW w:w="3807" w:type="dxa"/>
            <w:shd w:val="clear" w:color="auto" w:fill="auto"/>
            <w:vAlign w:val="center"/>
          </w:tcPr>
          <w:p w14:paraId="7B42B781" w14:textId="77777777" w:rsidR="007A3C34" w:rsidRPr="005D692E" w:rsidRDefault="007A3C34" w:rsidP="007A3C34">
            <w:pPr>
              <w:spacing w:after="0" w:line="240" w:lineRule="auto"/>
              <w:jc w:val="both"/>
              <w:rPr>
                <w:rFonts w:ascii="Calibri" w:eastAsia="Calibri" w:hAnsi="Calibri" w:cs="Times New Roman"/>
                <w:highlight w:val="yellow"/>
              </w:rPr>
            </w:pPr>
          </w:p>
        </w:tc>
        <w:tc>
          <w:tcPr>
            <w:tcW w:w="3118" w:type="dxa"/>
            <w:shd w:val="clear" w:color="auto" w:fill="auto"/>
          </w:tcPr>
          <w:p w14:paraId="4986DC0E" w14:textId="77777777" w:rsidR="007A3C34" w:rsidRPr="005D692E" w:rsidRDefault="007A3C34" w:rsidP="007A3C34">
            <w:pPr>
              <w:spacing w:after="0" w:line="240" w:lineRule="auto"/>
              <w:jc w:val="both"/>
              <w:rPr>
                <w:rFonts w:ascii="Calibri" w:eastAsia="Calibri" w:hAnsi="Calibri" w:cs="Times New Roman"/>
                <w:highlight w:val="yellow"/>
              </w:rPr>
            </w:pPr>
          </w:p>
        </w:tc>
      </w:tr>
    </w:tbl>
    <w:p w14:paraId="15FE859A" w14:textId="77777777" w:rsidR="00A63485" w:rsidRDefault="00A63485" w:rsidP="00A63485">
      <w:pPr>
        <w:jc w:val="both"/>
        <w:rPr>
          <w:color w:val="000000" w:themeColor="text1"/>
        </w:rPr>
      </w:pPr>
    </w:p>
    <w:p w14:paraId="60581E44" w14:textId="77777777" w:rsidR="00A63485" w:rsidRDefault="00A63485" w:rsidP="00A63485">
      <w:pPr>
        <w:jc w:val="both"/>
        <w:rPr>
          <w:color w:val="000000" w:themeColor="text1"/>
        </w:rPr>
      </w:pPr>
      <w:r w:rsidRPr="003F579E">
        <w:rPr>
          <w:b/>
          <w:bCs/>
          <w:color w:val="000000" w:themeColor="text1"/>
          <w:u w:val="single"/>
        </w:rPr>
        <w:t xml:space="preserve">Article </w:t>
      </w:r>
      <w:r w:rsidR="0047191C">
        <w:rPr>
          <w:b/>
          <w:bCs/>
          <w:color w:val="000000" w:themeColor="text1"/>
          <w:u w:val="single"/>
        </w:rPr>
        <w:t>4</w:t>
      </w:r>
      <w:r w:rsidRPr="003F579E">
        <w:rPr>
          <w:b/>
          <w:bCs/>
          <w:color w:val="000000" w:themeColor="text1"/>
          <w:u w:val="single"/>
        </w:rPr>
        <w:t xml:space="preserve"> –</w:t>
      </w:r>
      <w:r>
        <w:rPr>
          <w:color w:val="000000" w:themeColor="text1"/>
        </w:rPr>
        <w:t xml:space="preserve"> DECIDE des modalités de modulation, de versement, </w:t>
      </w:r>
      <w:r w:rsidR="000E3E71">
        <w:rPr>
          <w:color w:val="000000" w:themeColor="text1"/>
        </w:rPr>
        <w:t>d’</w:t>
      </w:r>
      <w:r w:rsidR="007A3C34">
        <w:rPr>
          <w:color w:val="000000" w:themeColor="text1"/>
        </w:rPr>
        <w:t xml:space="preserve">attribution et de réexamen </w:t>
      </w:r>
      <w:r w:rsidR="000E3E71">
        <w:rPr>
          <w:color w:val="000000" w:themeColor="text1"/>
        </w:rPr>
        <w:t xml:space="preserve">de l’IFSE comme suit : </w:t>
      </w:r>
    </w:p>
    <w:p w14:paraId="2F8DEED2" w14:textId="77777777" w:rsidR="000E3E71" w:rsidRPr="007A3C34" w:rsidRDefault="000E3E71" w:rsidP="000E3E71">
      <w:pPr>
        <w:pStyle w:val="Paragraphedeliste"/>
        <w:numPr>
          <w:ilvl w:val="0"/>
          <w:numId w:val="4"/>
        </w:numPr>
        <w:jc w:val="both"/>
        <w:rPr>
          <w:b/>
          <w:color w:val="000000" w:themeColor="text1"/>
        </w:rPr>
      </w:pPr>
      <w:r w:rsidRPr="007A3C34">
        <w:rPr>
          <w:b/>
          <w:color w:val="000000" w:themeColor="text1"/>
        </w:rPr>
        <w:t xml:space="preserve">Modulation </w:t>
      </w:r>
    </w:p>
    <w:p w14:paraId="730FB924" w14:textId="77777777" w:rsidR="000E3E71" w:rsidRDefault="000E3E71" w:rsidP="00A63485">
      <w:pPr>
        <w:jc w:val="both"/>
        <w:rPr>
          <w:color w:val="000000" w:themeColor="text1"/>
        </w:rPr>
      </w:pPr>
      <w:r>
        <w:rPr>
          <w:color w:val="000000" w:themeColor="text1"/>
        </w:rPr>
        <w:t xml:space="preserve">L’IFSE pourra être modulée en fonction de l’expérience professionnelle selon les critères suivants : </w:t>
      </w:r>
    </w:p>
    <w:p w14:paraId="3D3E8587" w14:textId="77777777" w:rsidR="00A63485" w:rsidRPr="005D692E" w:rsidRDefault="00A63485" w:rsidP="007A3C34">
      <w:pPr>
        <w:pStyle w:val="Sansinterligne"/>
        <w:rPr>
          <w:highlight w:val="yellow"/>
        </w:rPr>
      </w:pPr>
      <w:r w:rsidRPr="005D692E">
        <w:rPr>
          <w:highlight w:val="yellow"/>
        </w:rPr>
        <w:t>-….</w:t>
      </w:r>
      <w:r w:rsidR="00C4253D" w:rsidRPr="005D692E">
        <w:rPr>
          <w:highlight w:val="yellow"/>
        </w:rPr>
        <w:t>.</w:t>
      </w:r>
    </w:p>
    <w:p w14:paraId="229551CE" w14:textId="77777777" w:rsidR="007A3C34" w:rsidRPr="007A3C34" w:rsidRDefault="00A63485" w:rsidP="007A3C34">
      <w:pPr>
        <w:pStyle w:val="Sansinterligne"/>
      </w:pPr>
      <w:r w:rsidRPr="005D692E">
        <w:rPr>
          <w:highlight w:val="yellow"/>
        </w:rPr>
        <w:t>-…</w:t>
      </w:r>
      <w:r w:rsidR="00C4253D" w:rsidRPr="005D692E">
        <w:rPr>
          <w:highlight w:val="yellow"/>
        </w:rPr>
        <w:t>..</w:t>
      </w:r>
    </w:p>
    <w:p w14:paraId="5570036F" w14:textId="77777777" w:rsidR="000E3E71" w:rsidRPr="007A3C34" w:rsidRDefault="000E3E71" w:rsidP="000E3E71">
      <w:pPr>
        <w:jc w:val="both"/>
        <w:rPr>
          <w:b/>
          <w:color w:val="000000" w:themeColor="text1"/>
        </w:rPr>
      </w:pPr>
    </w:p>
    <w:p w14:paraId="45408A9F" w14:textId="77777777" w:rsidR="000E3E71" w:rsidRPr="007A3C34" w:rsidRDefault="000E3E71" w:rsidP="000E3E71">
      <w:pPr>
        <w:pStyle w:val="Paragraphedeliste"/>
        <w:numPr>
          <w:ilvl w:val="0"/>
          <w:numId w:val="4"/>
        </w:numPr>
        <w:jc w:val="both"/>
        <w:rPr>
          <w:b/>
          <w:color w:val="000000" w:themeColor="text1"/>
        </w:rPr>
      </w:pPr>
      <w:r w:rsidRPr="007A3C34">
        <w:rPr>
          <w:b/>
          <w:color w:val="000000" w:themeColor="text1"/>
        </w:rPr>
        <w:t xml:space="preserve">Périodicité de versement </w:t>
      </w:r>
    </w:p>
    <w:p w14:paraId="5812D2AC" w14:textId="77777777" w:rsidR="000E3E71" w:rsidRDefault="000E3E71" w:rsidP="000E3E71">
      <w:pPr>
        <w:jc w:val="both"/>
        <w:rPr>
          <w:color w:val="000000" w:themeColor="text1"/>
        </w:rPr>
      </w:pPr>
      <w:r>
        <w:rPr>
          <w:color w:val="000000" w:themeColor="text1"/>
        </w:rPr>
        <w:t>L’IFSE est versée</w:t>
      </w:r>
      <w:r w:rsidRPr="005D692E">
        <w:rPr>
          <w:color w:val="000000" w:themeColor="text1"/>
          <w:highlight w:val="yellow"/>
        </w:rPr>
        <w:t>…</w:t>
      </w:r>
      <w:r w:rsidR="007A3C34" w:rsidRPr="005D692E">
        <w:rPr>
          <w:color w:val="000000" w:themeColor="text1"/>
          <w:highlight w:val="yellow"/>
        </w:rPr>
        <w:t>………………………………………………..</w:t>
      </w:r>
      <w:r>
        <w:rPr>
          <w:color w:val="000000" w:themeColor="text1"/>
        </w:rPr>
        <w:t>(</w:t>
      </w:r>
      <w:r w:rsidRPr="005D692E">
        <w:rPr>
          <w:i/>
          <w:iCs/>
          <w:color w:val="000000" w:themeColor="text1"/>
        </w:rPr>
        <w:t>Annuellement, semestriellement, mensuellement</w:t>
      </w:r>
      <w:r>
        <w:rPr>
          <w:color w:val="000000" w:themeColor="text1"/>
        </w:rPr>
        <w:t xml:space="preserve">). </w:t>
      </w:r>
    </w:p>
    <w:p w14:paraId="6528F350" w14:textId="77777777" w:rsidR="007A3C34" w:rsidRPr="000E3E71" w:rsidRDefault="007A3C34" w:rsidP="000E3E71">
      <w:pPr>
        <w:jc w:val="both"/>
        <w:rPr>
          <w:color w:val="000000" w:themeColor="text1"/>
        </w:rPr>
      </w:pPr>
    </w:p>
    <w:p w14:paraId="6F0B344D" w14:textId="77777777" w:rsidR="000E3E71" w:rsidRPr="007A3C34" w:rsidRDefault="000E3E71" w:rsidP="000E3E71">
      <w:pPr>
        <w:pStyle w:val="Paragraphedeliste"/>
        <w:numPr>
          <w:ilvl w:val="0"/>
          <w:numId w:val="4"/>
        </w:numPr>
        <w:jc w:val="both"/>
        <w:rPr>
          <w:b/>
          <w:color w:val="000000" w:themeColor="text1"/>
        </w:rPr>
      </w:pPr>
      <w:r w:rsidRPr="007A3C34">
        <w:rPr>
          <w:b/>
          <w:color w:val="000000" w:themeColor="text1"/>
        </w:rPr>
        <w:t xml:space="preserve">Modalités de versement de l’IFSE </w:t>
      </w:r>
    </w:p>
    <w:p w14:paraId="1BE271ED" w14:textId="77777777" w:rsidR="000E3E71" w:rsidRDefault="000E3E71" w:rsidP="000E3E71">
      <w:pPr>
        <w:jc w:val="both"/>
        <w:rPr>
          <w:color w:val="000000" w:themeColor="text1"/>
        </w:rPr>
      </w:pPr>
      <w:r>
        <w:rPr>
          <w:color w:val="000000" w:themeColor="text1"/>
        </w:rPr>
        <w:t>Le montant de l’IFSE est proratisé en fonction du temps de travail de l’agent.</w:t>
      </w:r>
    </w:p>
    <w:p w14:paraId="59393FA0" w14:textId="77777777" w:rsidR="000E3E71" w:rsidRPr="007A3C34" w:rsidRDefault="000E3E71" w:rsidP="000E3E71">
      <w:pPr>
        <w:pStyle w:val="Paragraphedeliste"/>
        <w:numPr>
          <w:ilvl w:val="0"/>
          <w:numId w:val="4"/>
        </w:numPr>
        <w:jc w:val="both"/>
        <w:rPr>
          <w:b/>
          <w:color w:val="000000" w:themeColor="text1"/>
        </w:rPr>
      </w:pPr>
      <w:r w:rsidRPr="007A3C34">
        <w:rPr>
          <w:b/>
          <w:color w:val="000000" w:themeColor="text1"/>
        </w:rPr>
        <w:t xml:space="preserve">Attribution </w:t>
      </w:r>
    </w:p>
    <w:p w14:paraId="044AD59D" w14:textId="7C9EDDB7" w:rsidR="000E3E71" w:rsidRDefault="000E3E71" w:rsidP="000E3E71">
      <w:pPr>
        <w:jc w:val="both"/>
        <w:rPr>
          <w:color w:val="000000" w:themeColor="text1"/>
        </w:rPr>
      </w:pPr>
      <w:r>
        <w:rPr>
          <w:color w:val="000000" w:themeColor="text1"/>
        </w:rPr>
        <w:t>L’autorité territoriale attribu</w:t>
      </w:r>
      <w:r w:rsidR="00074556">
        <w:rPr>
          <w:color w:val="000000" w:themeColor="text1"/>
        </w:rPr>
        <w:t>e</w:t>
      </w:r>
      <w:r>
        <w:rPr>
          <w:color w:val="000000" w:themeColor="text1"/>
        </w:rPr>
        <w:t xml:space="preserve"> </w:t>
      </w:r>
      <w:r w:rsidR="00074556">
        <w:rPr>
          <w:color w:val="000000" w:themeColor="text1"/>
        </w:rPr>
        <w:t>individuellement</w:t>
      </w:r>
      <w:r>
        <w:rPr>
          <w:color w:val="000000" w:themeColor="text1"/>
        </w:rPr>
        <w:t xml:space="preserve"> l’IFSE à chaque agent dans la limite du plafond annuel déterminé par la présente délibération et en tenant compte de l’expérience </w:t>
      </w:r>
      <w:r w:rsidR="00074556">
        <w:rPr>
          <w:color w:val="000000" w:themeColor="text1"/>
        </w:rPr>
        <w:t>professionnelle</w:t>
      </w:r>
      <w:r>
        <w:rPr>
          <w:color w:val="000000" w:themeColor="text1"/>
        </w:rPr>
        <w:t xml:space="preserve"> acquise par l’agent conformément aux critères suivant</w:t>
      </w:r>
      <w:r w:rsidR="00AA09EA">
        <w:rPr>
          <w:color w:val="000000" w:themeColor="text1"/>
        </w:rPr>
        <w:t>s</w:t>
      </w:r>
      <w:r>
        <w:rPr>
          <w:color w:val="000000" w:themeColor="text1"/>
        </w:rPr>
        <w:t> :</w:t>
      </w:r>
      <w:r w:rsidR="007A3C34">
        <w:rPr>
          <w:color w:val="000000" w:themeColor="text1"/>
        </w:rPr>
        <w:t xml:space="preserve"> </w:t>
      </w:r>
    </w:p>
    <w:p w14:paraId="45F19E82" w14:textId="77777777" w:rsidR="007A3C34" w:rsidRPr="005D692E" w:rsidRDefault="007A3C34" w:rsidP="007A3C34">
      <w:pPr>
        <w:pStyle w:val="Sansinterligne"/>
        <w:rPr>
          <w:highlight w:val="yellow"/>
        </w:rPr>
      </w:pPr>
      <w:r w:rsidRPr="005D692E">
        <w:rPr>
          <w:highlight w:val="yellow"/>
        </w:rPr>
        <w:lastRenderedPageBreak/>
        <w:t>-…..</w:t>
      </w:r>
    </w:p>
    <w:p w14:paraId="615ABD16" w14:textId="77777777" w:rsidR="007A3C34" w:rsidRDefault="007A3C34" w:rsidP="007A3C34">
      <w:pPr>
        <w:pStyle w:val="Sansinterligne"/>
      </w:pPr>
      <w:r w:rsidRPr="005D692E">
        <w:rPr>
          <w:highlight w:val="yellow"/>
        </w:rPr>
        <w:t>-…..</w:t>
      </w:r>
    </w:p>
    <w:p w14:paraId="7114E95A" w14:textId="77777777" w:rsidR="007A3C34" w:rsidRPr="007A3C34" w:rsidRDefault="007A3C34" w:rsidP="007A3C34">
      <w:pPr>
        <w:pStyle w:val="Sansinterligne"/>
      </w:pPr>
    </w:p>
    <w:p w14:paraId="4A492545" w14:textId="77777777" w:rsidR="000E3E71" w:rsidRPr="007A3C34" w:rsidRDefault="000E3E71" w:rsidP="000E3E71">
      <w:pPr>
        <w:numPr>
          <w:ilvl w:val="0"/>
          <w:numId w:val="4"/>
        </w:numPr>
        <w:jc w:val="both"/>
        <w:rPr>
          <w:b/>
          <w:color w:val="000000" w:themeColor="text1"/>
        </w:rPr>
      </w:pPr>
      <w:r w:rsidRPr="007A3C34">
        <w:rPr>
          <w:b/>
          <w:color w:val="000000" w:themeColor="text1"/>
        </w:rPr>
        <w:t>Réexamen</w:t>
      </w:r>
    </w:p>
    <w:p w14:paraId="7327A067" w14:textId="77777777" w:rsidR="000E3E71" w:rsidRPr="000E3E71" w:rsidRDefault="000E3E71" w:rsidP="000E3E71">
      <w:pPr>
        <w:jc w:val="both"/>
        <w:rPr>
          <w:color w:val="000000" w:themeColor="text1"/>
        </w:rPr>
      </w:pPr>
      <w:r w:rsidRPr="000E3E71">
        <w:rPr>
          <w:color w:val="000000" w:themeColor="text1"/>
        </w:rPr>
        <w:t xml:space="preserve">Le montant de l’IFSE fera l’objet d’un réexamen : </w:t>
      </w:r>
    </w:p>
    <w:p w14:paraId="5241958A" w14:textId="77777777" w:rsidR="000E3E71" w:rsidRPr="000E3E71" w:rsidRDefault="000E3E71" w:rsidP="007A3C34">
      <w:pPr>
        <w:pStyle w:val="Sansinterligne"/>
      </w:pPr>
      <w:r w:rsidRPr="000E3E71">
        <w:t>-en cas de changement de fonctions ou d’emploi</w:t>
      </w:r>
    </w:p>
    <w:p w14:paraId="3912AE5E" w14:textId="77777777" w:rsidR="000E3E71" w:rsidRPr="000E3E71" w:rsidRDefault="000E3E71" w:rsidP="007A3C34">
      <w:pPr>
        <w:pStyle w:val="Sansinterligne"/>
      </w:pPr>
      <w:r w:rsidRPr="000E3E71">
        <w:t xml:space="preserve">-en cas de changement de grade ou de cadre d’emplois à la suite d’une promotion, d’un avancement de grade ou de la nomination suite à la réussite d’un concours </w:t>
      </w:r>
    </w:p>
    <w:p w14:paraId="1CB820D2" w14:textId="77777777" w:rsidR="000E3E71" w:rsidRPr="000E3E71" w:rsidRDefault="000E3E71" w:rsidP="007A3C34">
      <w:pPr>
        <w:pStyle w:val="Sansinterligne"/>
      </w:pPr>
      <w:r w:rsidRPr="000E3E71">
        <w:t xml:space="preserve">-au moins tous les </w:t>
      </w:r>
      <w:r w:rsidRPr="005D692E">
        <w:rPr>
          <w:highlight w:val="yellow"/>
        </w:rPr>
        <w:t>…</w:t>
      </w:r>
      <w:r w:rsidRPr="000E3E71">
        <w:t xml:space="preserve"> ans en fonction de l’expérience acquise par l’agent </w:t>
      </w:r>
    </w:p>
    <w:p w14:paraId="5ECFD581" w14:textId="77777777" w:rsidR="000E3E71" w:rsidRDefault="000E3E71" w:rsidP="00A63485">
      <w:pPr>
        <w:jc w:val="both"/>
        <w:rPr>
          <w:color w:val="000000" w:themeColor="text1"/>
        </w:rPr>
      </w:pPr>
    </w:p>
    <w:p w14:paraId="663E9F10" w14:textId="77777777" w:rsidR="00A63485" w:rsidRPr="00A63485" w:rsidRDefault="007A3C34" w:rsidP="00A63485">
      <w:pPr>
        <w:jc w:val="both"/>
        <w:rPr>
          <w:color w:val="000000" w:themeColor="text1"/>
        </w:rPr>
      </w:pPr>
      <w:r w:rsidRPr="007A3C34">
        <w:rPr>
          <w:b/>
          <w:color w:val="000000" w:themeColor="text1"/>
          <w:u w:val="single"/>
        </w:rPr>
        <w:t xml:space="preserve">ARTICLE </w:t>
      </w:r>
      <w:r w:rsidR="0047191C">
        <w:rPr>
          <w:b/>
          <w:color w:val="000000" w:themeColor="text1"/>
          <w:u w:val="single"/>
        </w:rPr>
        <w:t>5</w:t>
      </w:r>
      <w:r w:rsidRPr="007A3C34">
        <w:rPr>
          <w:b/>
          <w:color w:val="000000" w:themeColor="text1"/>
          <w:u w:val="single"/>
        </w:rPr>
        <w:t xml:space="preserve"> -</w:t>
      </w:r>
      <w:r>
        <w:rPr>
          <w:color w:val="000000" w:themeColor="text1"/>
        </w:rPr>
        <w:t xml:space="preserve"> </w:t>
      </w:r>
      <w:r w:rsidR="00A63485">
        <w:rPr>
          <w:color w:val="000000" w:themeColor="text1"/>
        </w:rPr>
        <w:t xml:space="preserve">DEFINIT comme suit les montants annuels maximum du Complément Indemnitaire Annuel (CIA) :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1"/>
        <w:gridCol w:w="3807"/>
        <w:gridCol w:w="3118"/>
      </w:tblGrid>
      <w:tr w:rsidR="007A3C34" w:rsidRPr="007A3C34" w14:paraId="4485834C" w14:textId="77777777" w:rsidTr="00CD2B17">
        <w:tc>
          <w:tcPr>
            <w:tcW w:w="2851" w:type="dxa"/>
            <w:shd w:val="clear" w:color="auto" w:fill="9CC2E5"/>
            <w:vAlign w:val="center"/>
          </w:tcPr>
          <w:p w14:paraId="0B69038E" w14:textId="77777777" w:rsidR="007A3C34" w:rsidRPr="007A3C34" w:rsidRDefault="007A3C34" w:rsidP="00CD2B17">
            <w:pPr>
              <w:spacing w:after="0" w:line="240" w:lineRule="auto"/>
              <w:jc w:val="center"/>
              <w:rPr>
                <w:rFonts w:ascii="Calibri" w:eastAsia="Calibri" w:hAnsi="Calibri" w:cs="Times New Roman"/>
              </w:rPr>
            </w:pPr>
            <w:r w:rsidRPr="007A3C34">
              <w:rPr>
                <w:rFonts w:ascii="Calibri" w:eastAsia="Calibri" w:hAnsi="Calibri" w:cs="Times New Roman"/>
              </w:rPr>
              <w:t>Groupe de fonctions</w:t>
            </w:r>
          </w:p>
        </w:tc>
        <w:tc>
          <w:tcPr>
            <w:tcW w:w="3807" w:type="dxa"/>
            <w:shd w:val="clear" w:color="auto" w:fill="9CC2E5"/>
            <w:vAlign w:val="center"/>
          </w:tcPr>
          <w:p w14:paraId="56BA10C9" w14:textId="77777777" w:rsidR="007A3C34" w:rsidRPr="007A3C34" w:rsidRDefault="007A3C34" w:rsidP="00CD2B17">
            <w:pPr>
              <w:spacing w:after="0" w:line="240" w:lineRule="auto"/>
              <w:jc w:val="center"/>
              <w:rPr>
                <w:rFonts w:ascii="Calibri" w:eastAsia="Calibri" w:hAnsi="Calibri" w:cs="Times New Roman"/>
              </w:rPr>
            </w:pPr>
            <w:r>
              <w:rPr>
                <w:rFonts w:ascii="Calibri" w:eastAsia="Calibri" w:hAnsi="Calibri" w:cs="Times New Roman"/>
              </w:rPr>
              <w:t>Liste des fonctions-emplois dans la collectivité</w:t>
            </w:r>
          </w:p>
        </w:tc>
        <w:tc>
          <w:tcPr>
            <w:tcW w:w="3118" w:type="dxa"/>
            <w:shd w:val="clear" w:color="auto" w:fill="9CC2E5"/>
            <w:vAlign w:val="center"/>
          </w:tcPr>
          <w:p w14:paraId="3B22E3AF" w14:textId="77777777" w:rsidR="007A3C34" w:rsidRPr="007A3C34" w:rsidRDefault="007A3C34" w:rsidP="00CD2B17">
            <w:pPr>
              <w:spacing w:after="0" w:line="240" w:lineRule="auto"/>
              <w:jc w:val="center"/>
              <w:rPr>
                <w:rFonts w:ascii="Calibri" w:eastAsia="Calibri" w:hAnsi="Calibri" w:cs="Times New Roman"/>
              </w:rPr>
            </w:pPr>
            <w:r w:rsidRPr="007A3C34">
              <w:rPr>
                <w:rFonts w:ascii="Calibri" w:eastAsia="Calibri" w:hAnsi="Calibri" w:cs="Times New Roman"/>
              </w:rPr>
              <w:t>Montants annuels maximum en euros</w:t>
            </w:r>
          </w:p>
        </w:tc>
      </w:tr>
      <w:tr w:rsidR="007A3C34" w:rsidRPr="007A3C34" w14:paraId="24D3307D" w14:textId="77777777" w:rsidTr="00CD2B17">
        <w:tc>
          <w:tcPr>
            <w:tcW w:w="9776" w:type="dxa"/>
            <w:gridSpan w:val="3"/>
            <w:shd w:val="clear" w:color="auto" w:fill="auto"/>
          </w:tcPr>
          <w:p w14:paraId="510AC277" w14:textId="77777777" w:rsidR="007A3C34" w:rsidRPr="007A3C34" w:rsidRDefault="007A3C34" w:rsidP="00CD2B17">
            <w:pPr>
              <w:spacing w:after="0" w:line="240" w:lineRule="auto"/>
              <w:jc w:val="both"/>
              <w:rPr>
                <w:rFonts w:ascii="Calibri" w:eastAsia="Calibri" w:hAnsi="Calibri" w:cs="Times New Roman"/>
                <w:b/>
              </w:rPr>
            </w:pPr>
            <w:r w:rsidRPr="005D692E">
              <w:rPr>
                <w:rFonts w:ascii="Calibri" w:eastAsia="Calibri" w:hAnsi="Calibri" w:cs="Times New Roman"/>
                <w:b/>
                <w:highlight w:val="yellow"/>
              </w:rPr>
              <w:t>Cadre d’emploi</w:t>
            </w:r>
            <w:r>
              <w:rPr>
                <w:rFonts w:ascii="Calibri" w:eastAsia="Calibri" w:hAnsi="Calibri" w:cs="Times New Roman"/>
                <w:b/>
              </w:rPr>
              <w:t xml:space="preserve"> </w:t>
            </w:r>
          </w:p>
        </w:tc>
      </w:tr>
      <w:tr w:rsidR="007A3C34" w:rsidRPr="007A3C34" w14:paraId="11B25DED" w14:textId="77777777" w:rsidTr="00CD2B17">
        <w:tc>
          <w:tcPr>
            <w:tcW w:w="2851" w:type="dxa"/>
            <w:shd w:val="clear" w:color="auto" w:fill="auto"/>
          </w:tcPr>
          <w:p w14:paraId="54F7FC68" w14:textId="77777777" w:rsidR="007A3C34" w:rsidRPr="007A3C34" w:rsidRDefault="007A3C34" w:rsidP="00CD2B17">
            <w:pPr>
              <w:spacing w:after="0" w:line="240" w:lineRule="auto"/>
              <w:jc w:val="both"/>
              <w:rPr>
                <w:rFonts w:ascii="Calibri" w:eastAsia="Calibri" w:hAnsi="Calibri" w:cs="Times New Roman"/>
              </w:rPr>
            </w:pPr>
            <w:r w:rsidRPr="007A3C34">
              <w:rPr>
                <w:rFonts w:ascii="Calibri" w:eastAsia="Calibri" w:hAnsi="Calibri" w:cs="Times New Roman"/>
              </w:rPr>
              <w:t>Groupe 1</w:t>
            </w:r>
          </w:p>
        </w:tc>
        <w:tc>
          <w:tcPr>
            <w:tcW w:w="3807" w:type="dxa"/>
            <w:shd w:val="clear" w:color="auto" w:fill="auto"/>
            <w:vAlign w:val="center"/>
          </w:tcPr>
          <w:p w14:paraId="489B092F" w14:textId="77777777" w:rsidR="007A3C34" w:rsidRPr="005D692E" w:rsidRDefault="007A3C34" w:rsidP="00CD2B17">
            <w:pPr>
              <w:spacing w:after="0" w:line="240" w:lineRule="auto"/>
              <w:jc w:val="both"/>
              <w:rPr>
                <w:rFonts w:ascii="Calibri" w:eastAsia="Calibri" w:hAnsi="Calibri" w:cs="Times New Roman"/>
              </w:rPr>
            </w:pPr>
          </w:p>
        </w:tc>
        <w:tc>
          <w:tcPr>
            <w:tcW w:w="3118" w:type="dxa"/>
            <w:shd w:val="clear" w:color="auto" w:fill="auto"/>
          </w:tcPr>
          <w:p w14:paraId="7EBC1D06" w14:textId="77777777" w:rsidR="007A3C34" w:rsidRPr="005D692E" w:rsidRDefault="007A3C34" w:rsidP="00CD2B17">
            <w:pPr>
              <w:spacing w:after="0" w:line="240" w:lineRule="auto"/>
              <w:jc w:val="both"/>
              <w:rPr>
                <w:rFonts w:ascii="Calibri" w:eastAsia="Calibri" w:hAnsi="Calibri" w:cs="Times New Roman"/>
              </w:rPr>
            </w:pPr>
          </w:p>
        </w:tc>
      </w:tr>
      <w:tr w:rsidR="007A3C34" w:rsidRPr="007A3C34" w14:paraId="29465E24" w14:textId="77777777" w:rsidTr="00CD2B17">
        <w:tc>
          <w:tcPr>
            <w:tcW w:w="2851" w:type="dxa"/>
            <w:shd w:val="clear" w:color="auto" w:fill="auto"/>
          </w:tcPr>
          <w:p w14:paraId="02CA128F" w14:textId="77777777" w:rsidR="007A3C34" w:rsidRPr="007A3C34" w:rsidRDefault="007A3C34" w:rsidP="00CD2B17">
            <w:pPr>
              <w:spacing w:after="0" w:line="240" w:lineRule="auto"/>
              <w:jc w:val="both"/>
              <w:rPr>
                <w:rFonts w:ascii="Calibri" w:eastAsia="Calibri" w:hAnsi="Calibri" w:cs="Times New Roman"/>
              </w:rPr>
            </w:pPr>
            <w:r w:rsidRPr="007A3C34">
              <w:rPr>
                <w:rFonts w:ascii="Calibri" w:eastAsia="Calibri" w:hAnsi="Calibri" w:cs="Times New Roman"/>
              </w:rPr>
              <w:t>Groupe 2</w:t>
            </w:r>
          </w:p>
        </w:tc>
        <w:tc>
          <w:tcPr>
            <w:tcW w:w="3807" w:type="dxa"/>
            <w:shd w:val="clear" w:color="auto" w:fill="auto"/>
            <w:vAlign w:val="center"/>
          </w:tcPr>
          <w:p w14:paraId="1D36BA0A" w14:textId="77777777" w:rsidR="007A3C34" w:rsidRPr="005D692E" w:rsidRDefault="007A3C34" w:rsidP="00CD2B17">
            <w:pPr>
              <w:spacing w:after="0" w:line="240" w:lineRule="auto"/>
              <w:jc w:val="both"/>
              <w:rPr>
                <w:rFonts w:ascii="Calibri" w:eastAsia="Calibri" w:hAnsi="Calibri" w:cs="Times New Roman"/>
              </w:rPr>
            </w:pPr>
          </w:p>
        </w:tc>
        <w:tc>
          <w:tcPr>
            <w:tcW w:w="3118" w:type="dxa"/>
            <w:shd w:val="clear" w:color="auto" w:fill="auto"/>
          </w:tcPr>
          <w:p w14:paraId="578BCD0D" w14:textId="77777777" w:rsidR="007A3C34" w:rsidRPr="005D692E" w:rsidRDefault="007A3C34" w:rsidP="00CD2B17">
            <w:pPr>
              <w:spacing w:after="0" w:line="240" w:lineRule="auto"/>
              <w:jc w:val="both"/>
              <w:rPr>
                <w:rFonts w:ascii="Calibri" w:eastAsia="Calibri" w:hAnsi="Calibri" w:cs="Times New Roman"/>
              </w:rPr>
            </w:pPr>
          </w:p>
        </w:tc>
      </w:tr>
      <w:tr w:rsidR="007A3C34" w:rsidRPr="007A3C34" w14:paraId="10C3FA4B" w14:textId="77777777" w:rsidTr="00CD2B17">
        <w:tc>
          <w:tcPr>
            <w:tcW w:w="2851" w:type="dxa"/>
            <w:shd w:val="clear" w:color="auto" w:fill="auto"/>
          </w:tcPr>
          <w:p w14:paraId="0B964C92" w14:textId="77777777" w:rsidR="007A3C34" w:rsidRPr="007A3C34" w:rsidRDefault="007A3C34" w:rsidP="00CD2B17">
            <w:pPr>
              <w:spacing w:after="0" w:line="240" w:lineRule="auto"/>
              <w:jc w:val="both"/>
              <w:rPr>
                <w:rFonts w:ascii="Calibri" w:eastAsia="Calibri" w:hAnsi="Calibri" w:cs="Times New Roman"/>
              </w:rPr>
            </w:pPr>
            <w:r>
              <w:rPr>
                <w:rFonts w:ascii="Calibri" w:eastAsia="Calibri" w:hAnsi="Calibri" w:cs="Times New Roman"/>
              </w:rPr>
              <w:t>Groupe 3</w:t>
            </w:r>
          </w:p>
        </w:tc>
        <w:tc>
          <w:tcPr>
            <w:tcW w:w="3807" w:type="dxa"/>
            <w:shd w:val="clear" w:color="auto" w:fill="auto"/>
            <w:vAlign w:val="center"/>
          </w:tcPr>
          <w:p w14:paraId="20042713" w14:textId="77777777" w:rsidR="007A3C34" w:rsidRPr="005D692E" w:rsidRDefault="007A3C34" w:rsidP="00CD2B17">
            <w:pPr>
              <w:spacing w:after="0" w:line="240" w:lineRule="auto"/>
              <w:jc w:val="both"/>
              <w:rPr>
                <w:rFonts w:ascii="Calibri" w:eastAsia="Calibri" w:hAnsi="Calibri" w:cs="Times New Roman"/>
              </w:rPr>
            </w:pPr>
          </w:p>
        </w:tc>
        <w:tc>
          <w:tcPr>
            <w:tcW w:w="3118" w:type="dxa"/>
            <w:shd w:val="clear" w:color="auto" w:fill="auto"/>
          </w:tcPr>
          <w:p w14:paraId="5A5BD9EB" w14:textId="77777777" w:rsidR="007A3C34" w:rsidRPr="005D692E" w:rsidRDefault="007A3C34" w:rsidP="00CD2B17">
            <w:pPr>
              <w:spacing w:after="0" w:line="240" w:lineRule="auto"/>
              <w:jc w:val="both"/>
              <w:rPr>
                <w:rFonts w:ascii="Calibri" w:eastAsia="Calibri" w:hAnsi="Calibri" w:cs="Times New Roman"/>
              </w:rPr>
            </w:pPr>
          </w:p>
        </w:tc>
      </w:tr>
      <w:tr w:rsidR="00AE24EB" w:rsidRPr="007A3C34" w14:paraId="24805A08" w14:textId="77777777" w:rsidTr="00CD2B17">
        <w:tc>
          <w:tcPr>
            <w:tcW w:w="2851" w:type="dxa"/>
            <w:shd w:val="clear" w:color="auto" w:fill="auto"/>
          </w:tcPr>
          <w:p w14:paraId="08A92DA9" w14:textId="22837249" w:rsidR="00AE24EB" w:rsidRDefault="00AE24EB" w:rsidP="00CD2B17">
            <w:pPr>
              <w:spacing w:after="0" w:line="240" w:lineRule="auto"/>
              <w:jc w:val="both"/>
              <w:rPr>
                <w:rFonts w:ascii="Calibri" w:eastAsia="Calibri" w:hAnsi="Calibri" w:cs="Times New Roman"/>
              </w:rPr>
            </w:pPr>
            <w:r>
              <w:rPr>
                <w:rFonts w:ascii="Calibri" w:eastAsia="Calibri" w:hAnsi="Calibri" w:cs="Times New Roman"/>
              </w:rPr>
              <w:t xml:space="preserve">Groupe 4 etc… </w:t>
            </w:r>
          </w:p>
        </w:tc>
        <w:tc>
          <w:tcPr>
            <w:tcW w:w="3807" w:type="dxa"/>
            <w:shd w:val="clear" w:color="auto" w:fill="auto"/>
            <w:vAlign w:val="center"/>
          </w:tcPr>
          <w:p w14:paraId="5D496291" w14:textId="77777777" w:rsidR="00AE24EB" w:rsidRPr="005D692E" w:rsidRDefault="00AE24EB" w:rsidP="00CD2B17">
            <w:pPr>
              <w:spacing w:after="0" w:line="240" w:lineRule="auto"/>
              <w:jc w:val="both"/>
              <w:rPr>
                <w:rFonts w:ascii="Calibri" w:eastAsia="Calibri" w:hAnsi="Calibri" w:cs="Times New Roman"/>
              </w:rPr>
            </w:pPr>
          </w:p>
        </w:tc>
        <w:tc>
          <w:tcPr>
            <w:tcW w:w="3118" w:type="dxa"/>
            <w:shd w:val="clear" w:color="auto" w:fill="auto"/>
          </w:tcPr>
          <w:p w14:paraId="63573B07" w14:textId="77777777" w:rsidR="00AE24EB" w:rsidRPr="005D692E" w:rsidRDefault="00AE24EB" w:rsidP="00CD2B17">
            <w:pPr>
              <w:spacing w:after="0" w:line="240" w:lineRule="auto"/>
              <w:jc w:val="both"/>
              <w:rPr>
                <w:rFonts w:ascii="Calibri" w:eastAsia="Calibri" w:hAnsi="Calibri" w:cs="Times New Roman"/>
              </w:rPr>
            </w:pPr>
          </w:p>
        </w:tc>
      </w:tr>
    </w:tbl>
    <w:p w14:paraId="4965D4A1" w14:textId="77777777" w:rsidR="000E3E71" w:rsidRDefault="000E3E71" w:rsidP="000E3E71">
      <w:pPr>
        <w:rPr>
          <w:color w:val="000000" w:themeColor="text1"/>
        </w:rPr>
      </w:pPr>
    </w:p>
    <w:p w14:paraId="629B05F8" w14:textId="66296521" w:rsidR="000E3E71" w:rsidRPr="000E3E71" w:rsidRDefault="007A3C34" w:rsidP="007A3C34">
      <w:pPr>
        <w:jc w:val="both"/>
        <w:rPr>
          <w:color w:val="000000" w:themeColor="text1"/>
        </w:rPr>
      </w:pPr>
      <w:r w:rsidRPr="007A3C34">
        <w:rPr>
          <w:b/>
          <w:color w:val="000000" w:themeColor="text1"/>
          <w:u w:val="single"/>
        </w:rPr>
        <w:t xml:space="preserve">ARTICLE </w:t>
      </w:r>
      <w:r w:rsidR="0047191C">
        <w:rPr>
          <w:b/>
          <w:color w:val="000000" w:themeColor="text1"/>
          <w:u w:val="single"/>
        </w:rPr>
        <w:t>6</w:t>
      </w:r>
      <w:r w:rsidRPr="007A3C34">
        <w:rPr>
          <w:b/>
          <w:color w:val="000000" w:themeColor="text1"/>
          <w:u w:val="single"/>
        </w:rPr>
        <w:t xml:space="preserve"> -</w:t>
      </w:r>
      <w:r>
        <w:rPr>
          <w:color w:val="000000" w:themeColor="text1"/>
        </w:rPr>
        <w:t xml:space="preserve"> </w:t>
      </w:r>
      <w:r w:rsidR="000E3E71" w:rsidRPr="000E3E71">
        <w:rPr>
          <w:color w:val="000000" w:themeColor="text1"/>
        </w:rPr>
        <w:t xml:space="preserve">DECIDE </w:t>
      </w:r>
      <w:r>
        <w:rPr>
          <w:color w:val="000000" w:themeColor="text1"/>
        </w:rPr>
        <w:t>des modalités de versement et d’attribution</w:t>
      </w:r>
      <w:r w:rsidR="000E3E71" w:rsidRPr="000E3E71">
        <w:rPr>
          <w:color w:val="000000" w:themeColor="text1"/>
        </w:rPr>
        <w:t xml:space="preserve"> </w:t>
      </w:r>
      <w:r w:rsidR="00074556">
        <w:rPr>
          <w:color w:val="000000" w:themeColor="text1"/>
        </w:rPr>
        <w:t xml:space="preserve">du CIA </w:t>
      </w:r>
      <w:r w:rsidR="000E3E71" w:rsidRPr="000E3E71">
        <w:rPr>
          <w:color w:val="000000" w:themeColor="text1"/>
        </w:rPr>
        <w:t xml:space="preserve">comme suit : </w:t>
      </w:r>
    </w:p>
    <w:p w14:paraId="7040E0FE" w14:textId="77777777" w:rsidR="007A3C34" w:rsidRDefault="000E3E71" w:rsidP="007A3C34">
      <w:pPr>
        <w:pStyle w:val="Paragraphedeliste"/>
        <w:numPr>
          <w:ilvl w:val="0"/>
          <w:numId w:val="4"/>
        </w:numPr>
        <w:rPr>
          <w:b/>
          <w:color w:val="000000" w:themeColor="text1"/>
        </w:rPr>
      </w:pPr>
      <w:r w:rsidRPr="007A3C34">
        <w:rPr>
          <w:b/>
          <w:color w:val="000000" w:themeColor="text1"/>
        </w:rPr>
        <w:t xml:space="preserve">Périodicité de versement </w:t>
      </w:r>
    </w:p>
    <w:p w14:paraId="040471AE" w14:textId="77777777" w:rsidR="000E3E71" w:rsidRPr="007A3C34" w:rsidRDefault="007A3C34" w:rsidP="007A3C34">
      <w:pPr>
        <w:rPr>
          <w:color w:val="000000" w:themeColor="text1"/>
        </w:rPr>
      </w:pPr>
      <w:r w:rsidRPr="007A3C34">
        <w:rPr>
          <w:color w:val="000000" w:themeColor="text1"/>
        </w:rPr>
        <w:t>Le CIA</w:t>
      </w:r>
      <w:r>
        <w:rPr>
          <w:b/>
          <w:color w:val="000000" w:themeColor="text1"/>
        </w:rPr>
        <w:t xml:space="preserve"> </w:t>
      </w:r>
      <w:r>
        <w:rPr>
          <w:color w:val="000000" w:themeColor="text1"/>
        </w:rPr>
        <w:t>est versé</w:t>
      </w:r>
      <w:r w:rsidRPr="005D692E">
        <w:rPr>
          <w:color w:val="000000" w:themeColor="text1"/>
          <w:highlight w:val="yellow"/>
        </w:rPr>
        <w:t>……………………………………………………</w:t>
      </w:r>
      <w:r w:rsidR="000E3E71" w:rsidRPr="007A3C34">
        <w:rPr>
          <w:color w:val="000000" w:themeColor="text1"/>
        </w:rPr>
        <w:t>(</w:t>
      </w:r>
      <w:r w:rsidR="000E3E71" w:rsidRPr="00C12A38">
        <w:rPr>
          <w:i/>
          <w:iCs/>
          <w:color w:val="000000" w:themeColor="text1"/>
        </w:rPr>
        <w:t>Annuellement, semestriellement, mensuellement</w:t>
      </w:r>
      <w:r w:rsidR="000E3E71" w:rsidRPr="007A3C34">
        <w:rPr>
          <w:color w:val="000000" w:themeColor="text1"/>
        </w:rPr>
        <w:t xml:space="preserve">). </w:t>
      </w:r>
    </w:p>
    <w:p w14:paraId="3989C800" w14:textId="77777777" w:rsidR="000E3E71" w:rsidRPr="007A3C34" w:rsidRDefault="007A3C34" w:rsidP="000E3E71">
      <w:pPr>
        <w:pStyle w:val="Paragraphedeliste"/>
        <w:numPr>
          <w:ilvl w:val="0"/>
          <w:numId w:val="4"/>
        </w:numPr>
        <w:rPr>
          <w:b/>
          <w:color w:val="000000" w:themeColor="text1"/>
        </w:rPr>
      </w:pPr>
      <w:r w:rsidRPr="007A3C34">
        <w:rPr>
          <w:b/>
          <w:color w:val="000000" w:themeColor="text1"/>
        </w:rPr>
        <w:t xml:space="preserve">Modalités de versement du CIA </w:t>
      </w:r>
    </w:p>
    <w:p w14:paraId="75CA6CC8" w14:textId="77777777" w:rsidR="000E3E71" w:rsidRPr="007A3C34" w:rsidRDefault="000E3E71" w:rsidP="007A3C34">
      <w:pPr>
        <w:rPr>
          <w:color w:val="000000" w:themeColor="text1"/>
        </w:rPr>
      </w:pPr>
      <w:r w:rsidRPr="007A3C34">
        <w:rPr>
          <w:color w:val="000000" w:themeColor="text1"/>
        </w:rPr>
        <w:t>Le</w:t>
      </w:r>
      <w:r w:rsidR="007A3C34">
        <w:rPr>
          <w:color w:val="000000" w:themeColor="text1"/>
        </w:rPr>
        <w:t xml:space="preserve"> montant du CIA</w:t>
      </w:r>
      <w:r w:rsidRPr="007A3C34">
        <w:rPr>
          <w:color w:val="000000" w:themeColor="text1"/>
        </w:rPr>
        <w:t xml:space="preserve"> est proratisé en fonction du temps de travail de l’agent.</w:t>
      </w:r>
    </w:p>
    <w:p w14:paraId="71BC2B1D" w14:textId="77777777" w:rsidR="000E3E71" w:rsidRPr="007A3C34" w:rsidRDefault="000E3E71" w:rsidP="000E3E71">
      <w:pPr>
        <w:pStyle w:val="Paragraphedeliste"/>
        <w:numPr>
          <w:ilvl w:val="0"/>
          <w:numId w:val="4"/>
        </w:numPr>
        <w:rPr>
          <w:b/>
          <w:color w:val="000000" w:themeColor="text1"/>
        </w:rPr>
      </w:pPr>
      <w:r w:rsidRPr="007A3C34">
        <w:rPr>
          <w:b/>
          <w:color w:val="000000" w:themeColor="text1"/>
        </w:rPr>
        <w:t xml:space="preserve">Attribution </w:t>
      </w:r>
    </w:p>
    <w:p w14:paraId="5ACEFE7B" w14:textId="77777777" w:rsidR="00074556" w:rsidRDefault="00074556" w:rsidP="007A3C34">
      <w:pPr>
        <w:jc w:val="both"/>
        <w:rPr>
          <w:color w:val="000000" w:themeColor="text1"/>
        </w:rPr>
      </w:pPr>
      <w:r>
        <w:rPr>
          <w:color w:val="000000" w:themeColor="text1"/>
        </w:rPr>
        <w:t xml:space="preserve">L’autorité territoriale </w:t>
      </w:r>
      <w:r w:rsidR="00751F8F">
        <w:rPr>
          <w:color w:val="000000" w:themeColor="text1"/>
        </w:rPr>
        <w:t xml:space="preserve">attribue individuellement à chaque agent un montant de CIA compris entre 0 et 100% du plafond individuel annuel et en tenant compte de l’engagement professionnel </w:t>
      </w:r>
      <w:r w:rsidR="007A3C34">
        <w:rPr>
          <w:color w:val="000000" w:themeColor="text1"/>
        </w:rPr>
        <w:t>et de la manière de servir</w:t>
      </w:r>
      <w:r w:rsidR="00751F8F">
        <w:rPr>
          <w:color w:val="000000" w:themeColor="text1"/>
        </w:rPr>
        <w:t xml:space="preserve"> des agents attestés par : </w:t>
      </w:r>
    </w:p>
    <w:p w14:paraId="520593C4" w14:textId="77777777" w:rsidR="007A3C34" w:rsidRPr="00C12A38" w:rsidRDefault="007A3C34" w:rsidP="007A3C34">
      <w:pPr>
        <w:pStyle w:val="Sansinterligne"/>
        <w:rPr>
          <w:highlight w:val="yellow"/>
        </w:rPr>
      </w:pPr>
      <w:r w:rsidRPr="00C12A38">
        <w:rPr>
          <w:highlight w:val="yellow"/>
        </w:rPr>
        <w:t>-…..</w:t>
      </w:r>
    </w:p>
    <w:p w14:paraId="3B02B34D" w14:textId="77777777" w:rsidR="00074556" w:rsidRDefault="007A3C34" w:rsidP="0047191C">
      <w:pPr>
        <w:pStyle w:val="Sansinterligne"/>
      </w:pPr>
      <w:r w:rsidRPr="00C12A38">
        <w:rPr>
          <w:highlight w:val="yellow"/>
        </w:rPr>
        <w:t>-…..</w:t>
      </w:r>
    </w:p>
    <w:p w14:paraId="71A5566E" w14:textId="77777777" w:rsidR="0047191C" w:rsidRPr="0047191C" w:rsidRDefault="0047191C" w:rsidP="0047191C">
      <w:pPr>
        <w:pStyle w:val="Sansinterligne"/>
      </w:pPr>
    </w:p>
    <w:p w14:paraId="7DD004FF" w14:textId="61B3F457" w:rsidR="0013411F" w:rsidRDefault="007A3C34" w:rsidP="00074556">
      <w:pPr>
        <w:jc w:val="both"/>
        <w:rPr>
          <w:color w:val="000000" w:themeColor="text1"/>
        </w:rPr>
      </w:pPr>
      <w:r w:rsidRPr="007A3C34">
        <w:rPr>
          <w:b/>
          <w:color w:val="000000" w:themeColor="text1"/>
          <w:u w:val="single"/>
        </w:rPr>
        <w:t xml:space="preserve">ARTICLE </w:t>
      </w:r>
      <w:r w:rsidR="0047191C">
        <w:rPr>
          <w:b/>
          <w:color w:val="000000" w:themeColor="text1"/>
          <w:u w:val="single"/>
        </w:rPr>
        <w:t xml:space="preserve">7 </w:t>
      </w:r>
      <w:r w:rsidR="00751F8F">
        <w:rPr>
          <w:color w:val="000000" w:themeColor="text1"/>
        </w:rPr>
        <w:t>–</w:t>
      </w:r>
      <w:r w:rsidR="00074556">
        <w:rPr>
          <w:color w:val="000000" w:themeColor="text1"/>
        </w:rPr>
        <w:t xml:space="preserve"> </w:t>
      </w:r>
      <w:r w:rsidR="00751F8F">
        <w:rPr>
          <w:color w:val="000000" w:themeColor="text1"/>
        </w:rPr>
        <w:t>PR</w:t>
      </w:r>
      <w:r w:rsidR="007419BA">
        <w:rPr>
          <w:color w:val="000000" w:themeColor="text1"/>
        </w:rPr>
        <w:t>É</w:t>
      </w:r>
      <w:r w:rsidR="00751F8F">
        <w:rPr>
          <w:color w:val="000000" w:themeColor="text1"/>
        </w:rPr>
        <w:t xml:space="preserve">CISE que le montant individuel du CIA n’est pas reconductible automatiquement d’une année sur l’autre. </w:t>
      </w:r>
    </w:p>
    <w:p w14:paraId="7C1C3F41" w14:textId="3FFA8AD9" w:rsidR="00AA09EA" w:rsidRDefault="00751F8F" w:rsidP="00D03E9D">
      <w:pPr>
        <w:pStyle w:val="Sansinterligne"/>
        <w:jc w:val="both"/>
        <w:rPr>
          <w:i/>
        </w:rPr>
      </w:pPr>
      <w:r w:rsidRPr="00D03E9D">
        <w:rPr>
          <w:i/>
        </w:rPr>
        <w:t>Il appartient à la collectivité de déterminer les conditions de versement du RIFSEEP en cas de congé de maladie ordinair</w:t>
      </w:r>
      <w:r w:rsidR="0013411F">
        <w:rPr>
          <w:i/>
        </w:rPr>
        <w:t>e et de CITIS.</w:t>
      </w:r>
    </w:p>
    <w:p w14:paraId="46F07813" w14:textId="17BD33EA" w:rsidR="00D03E9D" w:rsidRPr="00D03E9D" w:rsidRDefault="007F6082" w:rsidP="00D03E9D">
      <w:pPr>
        <w:pStyle w:val="Sansinterligne"/>
        <w:jc w:val="both"/>
        <w:rPr>
          <w:i/>
        </w:rPr>
      </w:pPr>
      <w:r w:rsidRPr="00D03E9D">
        <w:rPr>
          <w:i/>
        </w:rPr>
        <w:t>Pour rappel,</w:t>
      </w:r>
      <w:r w:rsidR="00D03E9D" w:rsidRPr="00D03E9D">
        <w:rPr>
          <w:i/>
        </w:rPr>
        <w:t xml:space="preserve"> l’article 1</w:t>
      </w:r>
      <w:r w:rsidR="00D03E9D" w:rsidRPr="00D03E9D">
        <w:rPr>
          <w:i/>
          <w:vertAlign w:val="superscript"/>
        </w:rPr>
        <w:t>er</w:t>
      </w:r>
      <w:r w:rsidR="00D03E9D" w:rsidRPr="00D03E9D">
        <w:rPr>
          <w:i/>
        </w:rPr>
        <w:t xml:space="preserve"> du décret n°2010-997 du 26 août 2010,</w:t>
      </w:r>
      <w:r w:rsidR="00C12A38">
        <w:rPr>
          <w:i/>
        </w:rPr>
        <w:t xml:space="preserve"> prévoit</w:t>
      </w:r>
      <w:r w:rsidR="00D03E9D" w:rsidRPr="00D03E9D">
        <w:rPr>
          <w:i/>
        </w:rPr>
        <w:t xml:space="preserve"> dans la fonction publique d’Etat, le maintien du régime indemnitaire dans les mêmes proportions que le traitement en cas :</w:t>
      </w:r>
    </w:p>
    <w:p w14:paraId="123B5A54" w14:textId="77777777" w:rsidR="00D03E9D" w:rsidRPr="00D03E9D" w:rsidRDefault="00D03E9D" w:rsidP="00D03E9D">
      <w:pPr>
        <w:pStyle w:val="Sansinterligne"/>
        <w:jc w:val="both"/>
        <w:rPr>
          <w:i/>
        </w:rPr>
      </w:pPr>
    </w:p>
    <w:p w14:paraId="0A0511CD" w14:textId="77777777" w:rsidR="00D03E9D" w:rsidRDefault="00D03E9D" w:rsidP="00D03E9D">
      <w:pPr>
        <w:pStyle w:val="Sansinterligne"/>
        <w:numPr>
          <w:ilvl w:val="0"/>
          <w:numId w:val="4"/>
        </w:numPr>
        <w:jc w:val="both"/>
        <w:rPr>
          <w:i/>
        </w:rPr>
      </w:pPr>
      <w:r w:rsidRPr="00D03E9D">
        <w:rPr>
          <w:i/>
        </w:rPr>
        <w:t xml:space="preserve">de temps partiel thérapeutique, </w:t>
      </w:r>
    </w:p>
    <w:p w14:paraId="7F888B4F" w14:textId="77777777" w:rsidR="00D03E9D" w:rsidRDefault="00D03E9D" w:rsidP="00D03E9D">
      <w:pPr>
        <w:pStyle w:val="Sansinterligne"/>
        <w:numPr>
          <w:ilvl w:val="0"/>
          <w:numId w:val="4"/>
        </w:numPr>
        <w:jc w:val="both"/>
        <w:rPr>
          <w:i/>
        </w:rPr>
      </w:pPr>
      <w:r w:rsidRPr="00D03E9D">
        <w:rPr>
          <w:i/>
        </w:rPr>
        <w:t xml:space="preserve">de congé annuel, </w:t>
      </w:r>
    </w:p>
    <w:p w14:paraId="34554B7D" w14:textId="77777777" w:rsidR="00D03E9D" w:rsidRDefault="00D03E9D" w:rsidP="00D03E9D">
      <w:pPr>
        <w:pStyle w:val="Sansinterligne"/>
        <w:numPr>
          <w:ilvl w:val="0"/>
          <w:numId w:val="4"/>
        </w:numPr>
        <w:jc w:val="both"/>
        <w:rPr>
          <w:i/>
        </w:rPr>
      </w:pPr>
      <w:r w:rsidRPr="00D03E9D">
        <w:rPr>
          <w:i/>
        </w:rPr>
        <w:t xml:space="preserve">de congé maladie ordinaire, </w:t>
      </w:r>
    </w:p>
    <w:p w14:paraId="473DC291" w14:textId="77777777" w:rsidR="00D03E9D" w:rsidRDefault="00D03E9D" w:rsidP="00D03E9D">
      <w:pPr>
        <w:pStyle w:val="Sansinterligne"/>
        <w:numPr>
          <w:ilvl w:val="0"/>
          <w:numId w:val="4"/>
        </w:numPr>
        <w:jc w:val="both"/>
        <w:rPr>
          <w:i/>
        </w:rPr>
      </w:pPr>
      <w:r w:rsidRPr="00D03E9D">
        <w:rPr>
          <w:i/>
        </w:rPr>
        <w:lastRenderedPageBreak/>
        <w:t xml:space="preserve">de congé maternité, </w:t>
      </w:r>
    </w:p>
    <w:p w14:paraId="275E0B72" w14:textId="77777777" w:rsidR="00D03E9D" w:rsidRPr="00D03E9D" w:rsidRDefault="00D03E9D" w:rsidP="00D03E9D">
      <w:pPr>
        <w:pStyle w:val="Sansinterligne"/>
        <w:numPr>
          <w:ilvl w:val="0"/>
          <w:numId w:val="4"/>
        </w:numPr>
        <w:jc w:val="both"/>
        <w:rPr>
          <w:i/>
        </w:rPr>
      </w:pPr>
      <w:r w:rsidRPr="00D03E9D">
        <w:rPr>
          <w:i/>
        </w:rPr>
        <w:t>de congé pour invalidité temporaire imputable au service (CITIS)</w:t>
      </w:r>
    </w:p>
    <w:p w14:paraId="5DE9D4ED" w14:textId="77777777" w:rsidR="00751F8F" w:rsidRPr="00D03E9D" w:rsidRDefault="00751F8F" w:rsidP="00D03E9D">
      <w:pPr>
        <w:pStyle w:val="Sansinterligne"/>
        <w:jc w:val="both"/>
        <w:rPr>
          <w:i/>
        </w:rPr>
      </w:pPr>
    </w:p>
    <w:p w14:paraId="756F10E6" w14:textId="52E9DA97" w:rsidR="00CD10C8" w:rsidRPr="00CD10C8" w:rsidRDefault="00C12A38" w:rsidP="00CD10C8">
      <w:pPr>
        <w:pStyle w:val="Sansinterligne"/>
        <w:jc w:val="both"/>
        <w:rPr>
          <w:i/>
        </w:rPr>
      </w:pPr>
      <w:r>
        <w:rPr>
          <w:i/>
        </w:rPr>
        <w:t xml:space="preserve">Par application du principe de parité, les collectivités </w:t>
      </w:r>
      <w:r w:rsidR="00CD10C8">
        <w:rPr>
          <w:i/>
        </w:rPr>
        <w:t xml:space="preserve">peuvent prévoir le maintien du RIFSEEP dans les mêmes proportions que le traitement en cas de congé de maladie ordinaire (CMO) ou de CITIS. </w:t>
      </w:r>
      <w:r w:rsidR="00CD10C8" w:rsidRPr="00CD10C8">
        <w:rPr>
          <w:i/>
        </w:rPr>
        <w:t>Il résulte de ce</w:t>
      </w:r>
      <w:r w:rsidR="00CD10C8">
        <w:rPr>
          <w:i/>
        </w:rPr>
        <w:t>tte</w:t>
      </w:r>
      <w:r w:rsidR="00CD10C8" w:rsidRPr="00CD10C8">
        <w:rPr>
          <w:i/>
        </w:rPr>
        <w:t xml:space="preserve"> limite que lorsqu’un agent placé en CMO tombe </w:t>
      </w:r>
      <w:r w:rsidR="00CD10C8">
        <w:rPr>
          <w:i/>
        </w:rPr>
        <w:t>à</w:t>
      </w:r>
      <w:r w:rsidR="00CD10C8" w:rsidRPr="00CD10C8">
        <w:rPr>
          <w:i/>
        </w:rPr>
        <w:t xml:space="preserve"> demi-traitement, </w:t>
      </w:r>
      <w:r w:rsidR="00CD10C8">
        <w:rPr>
          <w:i/>
        </w:rPr>
        <w:t xml:space="preserve">la collectivité devra lui verser la moitié de son demi-traitement. </w:t>
      </w:r>
    </w:p>
    <w:p w14:paraId="4D25ACF3" w14:textId="210C0409" w:rsidR="00C12A38" w:rsidRDefault="00CD10C8" w:rsidP="00D03E9D">
      <w:pPr>
        <w:pStyle w:val="Sansinterligne"/>
        <w:jc w:val="both"/>
        <w:rPr>
          <w:i/>
        </w:rPr>
      </w:pPr>
      <w:r>
        <w:rPr>
          <w:i/>
        </w:rPr>
        <w:t xml:space="preserve">Le maintien du RIFSEEP dans son intégralité en cas de CMO ou de CITIS est illégal. </w:t>
      </w:r>
    </w:p>
    <w:p w14:paraId="35EDCBDE" w14:textId="77777777" w:rsidR="00D03E9D" w:rsidRPr="0013411F" w:rsidRDefault="00D03E9D" w:rsidP="00D03E9D">
      <w:pPr>
        <w:pStyle w:val="Sansinterligne"/>
        <w:rPr>
          <w:iCs/>
        </w:rPr>
      </w:pPr>
    </w:p>
    <w:p w14:paraId="26210EE3" w14:textId="6D463CCD" w:rsidR="00C12A38" w:rsidRPr="0013411F" w:rsidRDefault="0013411F" w:rsidP="00D03E9D">
      <w:pPr>
        <w:pStyle w:val="Sansinterligne"/>
        <w:jc w:val="both"/>
        <w:rPr>
          <w:iCs/>
        </w:rPr>
      </w:pPr>
      <w:bookmarkStart w:id="0" w:name="_Hlk176423201"/>
      <w:r w:rsidRPr="0013411F">
        <w:rPr>
          <w:b/>
          <w:iCs/>
          <w:u w:val="single"/>
        </w:rPr>
        <w:t>ARTICLE 8 -</w:t>
      </w:r>
      <w:r w:rsidRPr="0013411F">
        <w:rPr>
          <w:iCs/>
        </w:rPr>
        <w:t xml:space="preserve"> </w:t>
      </w:r>
      <w:bookmarkEnd w:id="0"/>
      <w:r w:rsidR="00D03E9D" w:rsidRPr="0013411F">
        <w:rPr>
          <w:iCs/>
        </w:rPr>
        <w:t>D</w:t>
      </w:r>
      <w:r w:rsidR="007419BA">
        <w:rPr>
          <w:iCs/>
        </w:rPr>
        <w:t>É</w:t>
      </w:r>
      <w:r w:rsidR="00D03E9D" w:rsidRPr="0013411F">
        <w:rPr>
          <w:iCs/>
        </w:rPr>
        <w:t>CIDE que le régime indemnitaire</w:t>
      </w:r>
      <w:r w:rsidR="00C12A38" w:rsidRPr="0013411F">
        <w:rPr>
          <w:iCs/>
        </w:rPr>
        <w:t xml:space="preserve"> sera maintenu en cas de congé de maladie ordinaire dans les mêmes proportions que le traitement</w:t>
      </w:r>
      <w:r w:rsidRPr="0013411F">
        <w:rPr>
          <w:iCs/>
        </w:rPr>
        <w:t>.</w:t>
      </w:r>
    </w:p>
    <w:p w14:paraId="6F7D5980" w14:textId="77777777" w:rsidR="00C12A38" w:rsidRPr="0013411F" w:rsidRDefault="00C12A38" w:rsidP="00D03E9D">
      <w:pPr>
        <w:pStyle w:val="Sansinterligne"/>
        <w:jc w:val="both"/>
        <w:rPr>
          <w:i/>
        </w:rPr>
      </w:pPr>
    </w:p>
    <w:p w14:paraId="35767D0A" w14:textId="10556C71" w:rsidR="00C12A38" w:rsidRPr="0013411F" w:rsidRDefault="00C12A38" w:rsidP="0013411F">
      <w:pPr>
        <w:pStyle w:val="Sansinterligne"/>
        <w:jc w:val="center"/>
        <w:rPr>
          <w:i/>
        </w:rPr>
      </w:pPr>
      <w:r w:rsidRPr="0013411F">
        <w:rPr>
          <w:i/>
          <w:highlight w:val="yellow"/>
        </w:rPr>
        <w:t>O</w:t>
      </w:r>
      <w:r w:rsidR="0013411F" w:rsidRPr="0013411F">
        <w:rPr>
          <w:i/>
          <w:highlight w:val="yellow"/>
        </w:rPr>
        <w:t>U</w:t>
      </w:r>
    </w:p>
    <w:p w14:paraId="46B7479A" w14:textId="1CE56F9B" w:rsidR="00C12A38" w:rsidRPr="0013411F" w:rsidRDefault="00C12A38" w:rsidP="00D03E9D">
      <w:pPr>
        <w:pStyle w:val="Sansinterligne"/>
        <w:jc w:val="both"/>
        <w:rPr>
          <w:i/>
        </w:rPr>
      </w:pPr>
    </w:p>
    <w:p w14:paraId="3157B540" w14:textId="603D0471" w:rsidR="00C12A38" w:rsidRPr="0013411F" w:rsidRDefault="0013411F" w:rsidP="00D03E9D">
      <w:pPr>
        <w:pStyle w:val="Sansinterligne"/>
        <w:jc w:val="both"/>
        <w:rPr>
          <w:iCs/>
        </w:rPr>
      </w:pPr>
      <w:r w:rsidRPr="0013411F">
        <w:rPr>
          <w:b/>
          <w:iCs/>
          <w:u w:val="single"/>
        </w:rPr>
        <w:t>ARTICLE 8 -</w:t>
      </w:r>
      <w:r w:rsidRPr="0013411F">
        <w:rPr>
          <w:iCs/>
        </w:rPr>
        <w:t xml:space="preserve"> </w:t>
      </w:r>
      <w:r w:rsidR="00C12A38" w:rsidRPr="0013411F">
        <w:rPr>
          <w:iCs/>
        </w:rPr>
        <w:t>D</w:t>
      </w:r>
      <w:r w:rsidR="007419BA">
        <w:rPr>
          <w:iCs/>
        </w:rPr>
        <w:t>É</w:t>
      </w:r>
      <w:r w:rsidR="00C12A38" w:rsidRPr="0013411F">
        <w:rPr>
          <w:iCs/>
        </w:rPr>
        <w:t>CIDE que le régime indemnitaire ne sera pas maintenu en cas de congé de maladie ordinair</w:t>
      </w:r>
      <w:r w:rsidRPr="0013411F">
        <w:rPr>
          <w:iCs/>
        </w:rPr>
        <w:t>e.</w:t>
      </w:r>
      <w:r w:rsidR="00C12A38" w:rsidRPr="0013411F">
        <w:rPr>
          <w:iCs/>
        </w:rPr>
        <w:t xml:space="preserve"> </w:t>
      </w:r>
    </w:p>
    <w:p w14:paraId="0DF80A9D" w14:textId="77777777" w:rsidR="00C12A38" w:rsidRDefault="00C12A38" w:rsidP="00D03E9D">
      <w:pPr>
        <w:pStyle w:val="Sansinterligne"/>
        <w:jc w:val="both"/>
      </w:pPr>
    </w:p>
    <w:p w14:paraId="70186A53" w14:textId="788428E3" w:rsidR="0013411F" w:rsidRPr="0013411F" w:rsidRDefault="00C12A38" w:rsidP="0013411F">
      <w:pPr>
        <w:pStyle w:val="Sansinterligne"/>
        <w:jc w:val="both"/>
        <w:rPr>
          <w:bCs/>
          <w:iCs/>
        </w:rPr>
      </w:pPr>
      <w:r w:rsidRPr="00C12A38">
        <w:rPr>
          <w:b/>
          <w:u w:val="single"/>
        </w:rPr>
        <w:t>ARTICLE 9</w:t>
      </w:r>
      <w:r w:rsidRPr="00C12A38">
        <w:rPr>
          <w:b/>
        </w:rPr>
        <w:t xml:space="preserve"> </w:t>
      </w:r>
      <w:r w:rsidR="0013411F">
        <w:rPr>
          <w:b/>
        </w:rPr>
        <w:t>–</w:t>
      </w:r>
      <w:r>
        <w:rPr>
          <w:b/>
        </w:rPr>
        <w:t xml:space="preserve"> </w:t>
      </w:r>
      <w:r w:rsidR="0013411F" w:rsidRPr="0013411F">
        <w:rPr>
          <w:bCs/>
          <w:iCs/>
        </w:rPr>
        <w:t>D</w:t>
      </w:r>
      <w:r w:rsidR="007419BA">
        <w:rPr>
          <w:bCs/>
          <w:iCs/>
        </w:rPr>
        <w:t>É</w:t>
      </w:r>
      <w:r w:rsidR="0013411F" w:rsidRPr="0013411F">
        <w:rPr>
          <w:bCs/>
          <w:iCs/>
        </w:rPr>
        <w:t>CIDE que le régime indemnitaire sera maintenu en cas de CITIS dans les mêmes proportions que le traitement.</w:t>
      </w:r>
    </w:p>
    <w:p w14:paraId="73B3F546" w14:textId="77777777" w:rsidR="0013411F" w:rsidRPr="0013411F" w:rsidRDefault="0013411F" w:rsidP="0013411F">
      <w:pPr>
        <w:pStyle w:val="Sansinterligne"/>
        <w:rPr>
          <w:bCs/>
          <w:i/>
        </w:rPr>
      </w:pPr>
    </w:p>
    <w:p w14:paraId="59D579D6" w14:textId="77777777" w:rsidR="0013411F" w:rsidRPr="0013411F" w:rsidRDefault="0013411F" w:rsidP="0013411F">
      <w:pPr>
        <w:pStyle w:val="Sansinterligne"/>
        <w:jc w:val="center"/>
        <w:rPr>
          <w:bCs/>
          <w:i/>
        </w:rPr>
      </w:pPr>
      <w:r w:rsidRPr="0013411F">
        <w:rPr>
          <w:bCs/>
          <w:i/>
          <w:highlight w:val="yellow"/>
        </w:rPr>
        <w:t>OU</w:t>
      </w:r>
    </w:p>
    <w:p w14:paraId="6DAFE6DF" w14:textId="77777777" w:rsidR="0013411F" w:rsidRPr="0013411F" w:rsidRDefault="0013411F" w:rsidP="0013411F">
      <w:pPr>
        <w:pStyle w:val="Sansinterligne"/>
        <w:rPr>
          <w:bCs/>
          <w:i/>
        </w:rPr>
      </w:pPr>
    </w:p>
    <w:p w14:paraId="7A51827A" w14:textId="7B279B97" w:rsidR="0013411F" w:rsidRPr="0013411F" w:rsidRDefault="0013411F" w:rsidP="0013411F">
      <w:pPr>
        <w:pStyle w:val="Sansinterligne"/>
        <w:rPr>
          <w:b/>
          <w:iCs/>
        </w:rPr>
      </w:pPr>
      <w:r w:rsidRPr="0013411F">
        <w:rPr>
          <w:b/>
          <w:bCs/>
          <w:iCs/>
          <w:u w:val="single"/>
        </w:rPr>
        <w:t>ARTICLE 9</w:t>
      </w:r>
      <w:r>
        <w:rPr>
          <w:b/>
          <w:bCs/>
          <w:iCs/>
          <w:u w:val="single"/>
        </w:rPr>
        <w:t xml:space="preserve"> - </w:t>
      </w:r>
      <w:r w:rsidRPr="0013411F">
        <w:rPr>
          <w:bCs/>
          <w:iCs/>
        </w:rPr>
        <w:t>D</w:t>
      </w:r>
      <w:r w:rsidR="007419BA">
        <w:rPr>
          <w:bCs/>
          <w:iCs/>
        </w:rPr>
        <w:t>É</w:t>
      </w:r>
      <w:r w:rsidRPr="0013411F">
        <w:rPr>
          <w:bCs/>
          <w:iCs/>
        </w:rPr>
        <w:t xml:space="preserve">CIDE que le régime indemnitaire ne sera pas maintenu en cas de CITIS. </w:t>
      </w:r>
    </w:p>
    <w:p w14:paraId="6BB8699A" w14:textId="77777777" w:rsidR="0013411F" w:rsidRDefault="0013411F" w:rsidP="00D03E9D">
      <w:pPr>
        <w:pStyle w:val="Sansinterligne"/>
        <w:jc w:val="both"/>
        <w:rPr>
          <w:b/>
        </w:rPr>
      </w:pPr>
    </w:p>
    <w:p w14:paraId="295B0900" w14:textId="36EABA5C" w:rsidR="0013411F" w:rsidRPr="0013411F" w:rsidRDefault="0013411F" w:rsidP="0013411F">
      <w:pPr>
        <w:pStyle w:val="Sansinterligne"/>
        <w:jc w:val="both"/>
        <w:rPr>
          <w:i/>
          <w:iCs/>
        </w:rPr>
      </w:pPr>
      <w:r w:rsidRPr="0013411F">
        <w:rPr>
          <w:i/>
          <w:iCs/>
        </w:rPr>
        <w:t>Le décret n°2024-641 du 27 juin 2024 prévoit que dans la Fonction Publique d’Etat, en cas de congé de longue maladie (CLM) ou de congé de grave maladie (CGM), le bénéfice du RIFSEEP est maintenu à hauteur de 33% la première année et de 60% les deuxièmes et troisièmes années. En application du principe de parité, les collectivités peuvent prévoir le maintien de RIFSEEP en cas de CLM</w:t>
      </w:r>
      <w:r w:rsidR="00CD10C8">
        <w:rPr>
          <w:i/>
          <w:iCs/>
        </w:rPr>
        <w:t xml:space="preserve"> ou de CGM</w:t>
      </w:r>
      <w:r w:rsidRPr="0013411F">
        <w:rPr>
          <w:i/>
          <w:iCs/>
        </w:rPr>
        <w:t xml:space="preserve"> dans les limites susmentionnées. </w:t>
      </w:r>
      <w:r w:rsidR="00CD10C8">
        <w:rPr>
          <w:i/>
          <w:iCs/>
        </w:rPr>
        <w:t xml:space="preserve">La suspension du RIFSEEP en cas de CLM ou CGM est légale. </w:t>
      </w:r>
    </w:p>
    <w:p w14:paraId="247514A7" w14:textId="68A089FA" w:rsidR="0013411F" w:rsidRPr="0013411F" w:rsidRDefault="0013411F" w:rsidP="0013411F">
      <w:pPr>
        <w:pStyle w:val="Sansinterligne"/>
        <w:rPr>
          <w:i/>
          <w:iCs/>
        </w:rPr>
      </w:pPr>
      <w:r w:rsidRPr="0013411F">
        <w:rPr>
          <w:i/>
          <w:iCs/>
        </w:rPr>
        <w:t xml:space="preserve">Le maintien du RIFSEEP en cas de Congé Longue Durée (CLD) </w:t>
      </w:r>
      <w:r>
        <w:rPr>
          <w:i/>
          <w:iCs/>
        </w:rPr>
        <w:t>reste</w:t>
      </w:r>
      <w:r w:rsidRPr="0013411F">
        <w:rPr>
          <w:i/>
          <w:iCs/>
        </w:rPr>
        <w:t xml:space="preserve"> illégal. </w:t>
      </w:r>
    </w:p>
    <w:p w14:paraId="37B70DD8" w14:textId="77777777" w:rsidR="0013411F" w:rsidRDefault="0013411F" w:rsidP="00D03E9D">
      <w:pPr>
        <w:pStyle w:val="Sansinterligne"/>
        <w:jc w:val="both"/>
        <w:rPr>
          <w:i/>
          <w:iCs/>
        </w:rPr>
      </w:pPr>
    </w:p>
    <w:p w14:paraId="643588B3" w14:textId="56FDDAAF" w:rsidR="00C12A38" w:rsidRPr="0013411F" w:rsidRDefault="0013411F" w:rsidP="00D03E9D">
      <w:pPr>
        <w:pStyle w:val="Sansinterligne"/>
        <w:jc w:val="both"/>
      </w:pPr>
      <w:r w:rsidRPr="0013411F">
        <w:rPr>
          <w:b/>
          <w:u w:val="single"/>
        </w:rPr>
        <w:t>ARTICLE 11</w:t>
      </w:r>
      <w:r w:rsidRPr="0013411F">
        <w:rPr>
          <w:b/>
        </w:rPr>
        <w:t xml:space="preserve"> </w:t>
      </w:r>
      <w:r w:rsidRPr="0013411F">
        <w:t>–</w:t>
      </w:r>
      <w:r w:rsidRPr="0013411F">
        <w:rPr>
          <w:i/>
          <w:iCs/>
        </w:rPr>
        <w:t xml:space="preserve"> </w:t>
      </w:r>
      <w:r w:rsidR="00C12A38" w:rsidRPr="0013411F">
        <w:t>D</w:t>
      </w:r>
      <w:r w:rsidR="007419BA">
        <w:t>É</w:t>
      </w:r>
      <w:r w:rsidR="00C12A38" w:rsidRPr="0013411F">
        <w:t xml:space="preserve">CIDE que le régime indemnitaire sera maintenu </w:t>
      </w:r>
      <w:r w:rsidRPr="0013411F">
        <w:t xml:space="preserve">à hauteur de </w:t>
      </w:r>
      <w:r w:rsidRPr="0013411F">
        <w:rPr>
          <w:highlight w:val="yellow"/>
        </w:rPr>
        <w:t>…….</w:t>
      </w:r>
      <w:r w:rsidRPr="0013411F">
        <w:t>% la première année et de</w:t>
      </w:r>
      <w:r w:rsidRPr="0013411F">
        <w:rPr>
          <w:highlight w:val="yellow"/>
        </w:rPr>
        <w:t>…….</w:t>
      </w:r>
      <w:r w:rsidRPr="0013411F">
        <w:t xml:space="preserve">% les deuxièmes et troisièmes années en cas de congé de longue maladie ou de grave maladie. </w:t>
      </w:r>
    </w:p>
    <w:p w14:paraId="3BF55EB5" w14:textId="77777777" w:rsidR="0013411F" w:rsidRPr="0013411F" w:rsidRDefault="0013411F" w:rsidP="00D03E9D">
      <w:pPr>
        <w:pStyle w:val="Sansinterligne"/>
        <w:jc w:val="both"/>
        <w:rPr>
          <w:i/>
          <w:iCs/>
        </w:rPr>
      </w:pPr>
    </w:p>
    <w:p w14:paraId="13BB7DF5" w14:textId="382DDC5B" w:rsidR="0013411F" w:rsidRPr="0013411F" w:rsidRDefault="0013411F" w:rsidP="0013411F">
      <w:pPr>
        <w:pStyle w:val="Sansinterligne"/>
        <w:jc w:val="center"/>
        <w:rPr>
          <w:i/>
          <w:iCs/>
        </w:rPr>
      </w:pPr>
      <w:r w:rsidRPr="0013411F">
        <w:rPr>
          <w:i/>
          <w:iCs/>
          <w:highlight w:val="yellow"/>
        </w:rPr>
        <w:t>OU</w:t>
      </w:r>
    </w:p>
    <w:p w14:paraId="708E1175" w14:textId="77777777" w:rsidR="0013411F" w:rsidRPr="0013411F" w:rsidRDefault="0013411F" w:rsidP="00D03E9D">
      <w:pPr>
        <w:pStyle w:val="Sansinterligne"/>
        <w:jc w:val="both"/>
        <w:rPr>
          <w:i/>
          <w:iCs/>
        </w:rPr>
      </w:pPr>
    </w:p>
    <w:p w14:paraId="6C3D4CE1" w14:textId="228DE33E" w:rsidR="0013411F" w:rsidRPr="0013411F" w:rsidRDefault="0013411F" w:rsidP="00D03E9D">
      <w:pPr>
        <w:pStyle w:val="Sansinterligne"/>
        <w:jc w:val="both"/>
      </w:pPr>
      <w:r w:rsidRPr="0013411F">
        <w:rPr>
          <w:b/>
          <w:u w:val="single"/>
        </w:rPr>
        <w:t>ARTICLE 11</w:t>
      </w:r>
      <w:r w:rsidRPr="0013411F">
        <w:rPr>
          <w:b/>
        </w:rPr>
        <w:t xml:space="preserve"> </w:t>
      </w:r>
      <w:r w:rsidRPr="0013411F">
        <w:t>–</w:t>
      </w:r>
      <w:r w:rsidRPr="0013411F">
        <w:rPr>
          <w:i/>
          <w:iCs/>
        </w:rPr>
        <w:t xml:space="preserve"> </w:t>
      </w:r>
      <w:r w:rsidRPr="0013411F">
        <w:t>D</w:t>
      </w:r>
      <w:r w:rsidR="007419BA">
        <w:t>É</w:t>
      </w:r>
      <w:r w:rsidRPr="0013411F">
        <w:t xml:space="preserve">CIDE que le régime indemnitaire ne sera pas maintenu en cas de congé de longue maladie ou </w:t>
      </w:r>
      <w:r w:rsidR="00CD10C8">
        <w:t xml:space="preserve">de congé </w:t>
      </w:r>
      <w:r w:rsidRPr="0013411F">
        <w:t xml:space="preserve">de grave maladie. </w:t>
      </w:r>
    </w:p>
    <w:p w14:paraId="035EE1A9" w14:textId="4F356D16" w:rsidR="00C12A38" w:rsidRDefault="00C12A38" w:rsidP="00D03E9D">
      <w:pPr>
        <w:pStyle w:val="Sansinterligne"/>
        <w:jc w:val="both"/>
      </w:pPr>
    </w:p>
    <w:p w14:paraId="2F9A7B5F" w14:textId="10C237BA" w:rsidR="00C12A38" w:rsidRDefault="0013411F" w:rsidP="00D03E9D">
      <w:pPr>
        <w:pStyle w:val="Sansinterligne"/>
        <w:jc w:val="both"/>
      </w:pPr>
      <w:bookmarkStart w:id="1" w:name="_Hlk176422927"/>
      <w:r w:rsidRPr="0013411F">
        <w:rPr>
          <w:b/>
          <w:u w:val="single"/>
        </w:rPr>
        <w:t>ARTICLE 1</w:t>
      </w:r>
      <w:r>
        <w:rPr>
          <w:b/>
          <w:u w:val="single"/>
        </w:rPr>
        <w:t>2</w:t>
      </w:r>
      <w:r w:rsidRPr="0013411F">
        <w:rPr>
          <w:b/>
        </w:rPr>
        <w:t xml:space="preserve"> </w:t>
      </w:r>
      <w:r w:rsidRPr="0013411F">
        <w:t>–</w:t>
      </w:r>
      <w:r>
        <w:t xml:space="preserve"> </w:t>
      </w:r>
      <w:bookmarkEnd w:id="1"/>
      <w:r>
        <w:t>D</w:t>
      </w:r>
      <w:r w:rsidR="007419BA">
        <w:t>É</w:t>
      </w:r>
      <w:r>
        <w:t xml:space="preserve">CIDE que le régime indemnitaire ne sera pas maintenu en cas de congé de longue durée. </w:t>
      </w:r>
    </w:p>
    <w:p w14:paraId="057E987E" w14:textId="05FD9135" w:rsidR="00D03E9D" w:rsidRPr="00D03E9D" w:rsidRDefault="00D03E9D" w:rsidP="0013411F">
      <w:pPr>
        <w:pStyle w:val="Sansinterligne"/>
      </w:pPr>
    </w:p>
    <w:p w14:paraId="64ACCF0C" w14:textId="706A96EF" w:rsidR="007F6082" w:rsidRDefault="00F36850" w:rsidP="00074556">
      <w:pPr>
        <w:jc w:val="both"/>
        <w:rPr>
          <w:color w:val="000000" w:themeColor="text1"/>
        </w:rPr>
      </w:pPr>
      <w:bookmarkStart w:id="2" w:name="_Hlk176422683"/>
      <w:bookmarkStart w:id="3" w:name="_Hlk176422890"/>
      <w:r w:rsidRPr="00F36850">
        <w:rPr>
          <w:b/>
          <w:color w:val="000000" w:themeColor="text1"/>
          <w:u w:val="single"/>
        </w:rPr>
        <w:t xml:space="preserve">ARTICLE </w:t>
      </w:r>
      <w:r w:rsidR="00C12A38">
        <w:rPr>
          <w:b/>
          <w:color w:val="000000" w:themeColor="text1"/>
          <w:u w:val="single"/>
        </w:rPr>
        <w:t>1</w:t>
      </w:r>
      <w:r w:rsidR="0013411F">
        <w:rPr>
          <w:b/>
          <w:color w:val="000000" w:themeColor="text1"/>
          <w:u w:val="single"/>
        </w:rPr>
        <w:t>3</w:t>
      </w:r>
      <w:r w:rsidRPr="00F36850">
        <w:rPr>
          <w:b/>
          <w:color w:val="000000" w:themeColor="text1"/>
        </w:rPr>
        <w:t xml:space="preserve"> </w:t>
      </w:r>
      <w:bookmarkEnd w:id="2"/>
      <w:r w:rsidR="007F6082">
        <w:rPr>
          <w:color w:val="000000" w:themeColor="text1"/>
        </w:rPr>
        <w:t xml:space="preserve">– </w:t>
      </w:r>
      <w:bookmarkEnd w:id="3"/>
      <w:r w:rsidR="007F6082">
        <w:rPr>
          <w:color w:val="000000" w:themeColor="text1"/>
        </w:rPr>
        <w:t xml:space="preserve">RAPPELLE </w:t>
      </w:r>
      <w:r w:rsidR="00D03E9D">
        <w:rPr>
          <w:color w:val="000000" w:themeColor="text1"/>
        </w:rPr>
        <w:t>que le régime indemnitaire sera</w:t>
      </w:r>
      <w:r w:rsidR="007F6082">
        <w:rPr>
          <w:color w:val="000000" w:themeColor="text1"/>
        </w:rPr>
        <w:t xml:space="preserve"> maintenu dans les mêmes proportions que le traitement durant les congés de maternité, de naissance, de paternité et d’accueil de l’enfant, pour l’arrivée d’un enfant en vue de son adoption, d’adoption, sans préjudice de leur modulation en fonction de l’engagement professionnel de l’agent territorial et des résultats collectifs du service. </w:t>
      </w:r>
    </w:p>
    <w:p w14:paraId="548FDED1" w14:textId="190CB391" w:rsidR="00A63485" w:rsidRDefault="00F36850" w:rsidP="00BC4620">
      <w:pPr>
        <w:jc w:val="both"/>
        <w:rPr>
          <w:color w:val="000000" w:themeColor="text1"/>
        </w:rPr>
      </w:pPr>
      <w:r w:rsidRPr="00F36850">
        <w:rPr>
          <w:b/>
          <w:color w:val="000000" w:themeColor="text1"/>
          <w:u w:val="single"/>
        </w:rPr>
        <w:t>ARTICLE 1</w:t>
      </w:r>
      <w:r w:rsidR="0013411F">
        <w:rPr>
          <w:b/>
          <w:color w:val="000000" w:themeColor="text1"/>
          <w:u w:val="single"/>
        </w:rPr>
        <w:t>4</w:t>
      </w:r>
      <w:r>
        <w:rPr>
          <w:color w:val="000000" w:themeColor="text1"/>
        </w:rPr>
        <w:t xml:space="preserve"> </w:t>
      </w:r>
      <w:r w:rsidR="00074556">
        <w:rPr>
          <w:color w:val="000000" w:themeColor="text1"/>
        </w:rPr>
        <w:t xml:space="preserve">– RAPPELLE que l’IFSE et le CIA sont exclusifs de tout autre régime indemnitaire de même nature. </w:t>
      </w:r>
    </w:p>
    <w:p w14:paraId="2E63E180" w14:textId="1182A1DF" w:rsidR="00F36850" w:rsidRDefault="00F36850" w:rsidP="00F36850">
      <w:pPr>
        <w:jc w:val="both"/>
        <w:rPr>
          <w:color w:val="000000" w:themeColor="text1"/>
        </w:rPr>
      </w:pPr>
      <w:r w:rsidRPr="00F36850">
        <w:rPr>
          <w:b/>
          <w:color w:val="000000" w:themeColor="text1"/>
          <w:u w:val="single"/>
        </w:rPr>
        <w:t>ARTICLE 1</w:t>
      </w:r>
      <w:r w:rsidR="0013411F">
        <w:rPr>
          <w:b/>
          <w:color w:val="000000" w:themeColor="text1"/>
          <w:u w:val="single"/>
        </w:rPr>
        <w:t>5</w:t>
      </w:r>
      <w:r>
        <w:rPr>
          <w:color w:val="000000" w:themeColor="text1"/>
        </w:rPr>
        <w:t xml:space="preserve"> </w:t>
      </w:r>
      <w:r w:rsidR="00751F8F">
        <w:rPr>
          <w:color w:val="000000" w:themeColor="text1"/>
        </w:rPr>
        <w:t>–</w:t>
      </w:r>
      <w:r w:rsidR="007F6082">
        <w:rPr>
          <w:color w:val="000000" w:themeColor="text1"/>
        </w:rPr>
        <w:t xml:space="preserve"> </w:t>
      </w:r>
      <w:r w:rsidRPr="00F36850">
        <w:rPr>
          <w:i/>
          <w:color w:val="000000" w:themeColor="text1"/>
        </w:rPr>
        <w:t>(Le cas échéant)</w:t>
      </w:r>
      <w:r>
        <w:rPr>
          <w:color w:val="000000" w:themeColor="text1"/>
        </w:rPr>
        <w:t xml:space="preserve"> </w:t>
      </w:r>
      <w:r w:rsidR="007F6082">
        <w:rPr>
          <w:color w:val="000000" w:themeColor="text1"/>
        </w:rPr>
        <w:t>D</w:t>
      </w:r>
      <w:r w:rsidR="007419BA">
        <w:rPr>
          <w:color w:val="000000" w:themeColor="text1"/>
        </w:rPr>
        <w:t>É</w:t>
      </w:r>
      <w:r w:rsidR="007F6082">
        <w:rPr>
          <w:color w:val="000000" w:themeColor="text1"/>
        </w:rPr>
        <w:t xml:space="preserve">CIDE le maintien, à titre individuel, du montant indemnitaire </w:t>
      </w:r>
      <w:r>
        <w:rPr>
          <w:color w:val="000000" w:themeColor="text1"/>
        </w:rPr>
        <w:t xml:space="preserve">dont </w:t>
      </w:r>
      <w:r w:rsidR="007F6082">
        <w:rPr>
          <w:color w:val="000000" w:themeColor="text1"/>
        </w:rPr>
        <w:t>béné</w:t>
      </w:r>
      <w:r>
        <w:rPr>
          <w:color w:val="000000" w:themeColor="text1"/>
        </w:rPr>
        <w:t xml:space="preserve">ficie le fonctionnaire en application des dispositions réglementaires antérieures. </w:t>
      </w:r>
    </w:p>
    <w:p w14:paraId="48CEC2B7" w14:textId="7D907FCF" w:rsidR="00074556" w:rsidRDefault="00F36850" w:rsidP="00BC4620">
      <w:pPr>
        <w:jc w:val="both"/>
        <w:rPr>
          <w:color w:val="000000" w:themeColor="text1"/>
        </w:rPr>
      </w:pPr>
      <w:r w:rsidRPr="00F36850">
        <w:rPr>
          <w:b/>
          <w:color w:val="000000" w:themeColor="text1"/>
          <w:u w:val="single"/>
        </w:rPr>
        <w:lastRenderedPageBreak/>
        <w:t>ARTICLE 1</w:t>
      </w:r>
      <w:r w:rsidR="0013411F">
        <w:rPr>
          <w:b/>
          <w:color w:val="000000" w:themeColor="text1"/>
          <w:u w:val="single"/>
        </w:rPr>
        <w:t>6</w:t>
      </w:r>
      <w:r>
        <w:rPr>
          <w:color w:val="000000" w:themeColor="text1"/>
        </w:rPr>
        <w:t xml:space="preserve"> </w:t>
      </w:r>
      <w:r w:rsidR="00074556">
        <w:rPr>
          <w:color w:val="000000" w:themeColor="text1"/>
        </w:rPr>
        <w:t>– DIT que les dispositions de la présente délibération prendront effet à compter du</w:t>
      </w:r>
      <w:r w:rsidR="00074556" w:rsidRPr="00C12A38">
        <w:rPr>
          <w:color w:val="000000" w:themeColor="text1"/>
          <w:highlight w:val="yellow"/>
        </w:rPr>
        <w:t>……………</w:t>
      </w:r>
    </w:p>
    <w:p w14:paraId="3F10D0CE" w14:textId="09A9D6C0" w:rsidR="00074556" w:rsidRDefault="00F36850" w:rsidP="00BC4620">
      <w:pPr>
        <w:jc w:val="both"/>
        <w:rPr>
          <w:color w:val="000000" w:themeColor="text1"/>
        </w:rPr>
      </w:pPr>
      <w:r w:rsidRPr="00F36850">
        <w:rPr>
          <w:b/>
          <w:color w:val="000000" w:themeColor="text1"/>
          <w:u w:val="single"/>
        </w:rPr>
        <w:t>ARTICLE 1</w:t>
      </w:r>
      <w:r w:rsidR="0013411F">
        <w:rPr>
          <w:b/>
          <w:color w:val="000000" w:themeColor="text1"/>
          <w:u w:val="single"/>
        </w:rPr>
        <w:t>7</w:t>
      </w:r>
      <w:r>
        <w:rPr>
          <w:color w:val="000000" w:themeColor="text1"/>
        </w:rPr>
        <w:t xml:space="preserve"> </w:t>
      </w:r>
      <w:r w:rsidR="00074556">
        <w:rPr>
          <w:color w:val="000000" w:themeColor="text1"/>
        </w:rPr>
        <w:t xml:space="preserve">– DIT que les crédits correspondants sont inscrits au budget. </w:t>
      </w:r>
    </w:p>
    <w:p w14:paraId="03273F03" w14:textId="77777777" w:rsidR="00074556" w:rsidRDefault="00074556" w:rsidP="00BC4620">
      <w:pPr>
        <w:jc w:val="both"/>
        <w:rPr>
          <w:color w:val="000000" w:themeColor="text1"/>
        </w:rPr>
      </w:pPr>
    </w:p>
    <w:p w14:paraId="13A91735" w14:textId="77777777" w:rsidR="004E3B17" w:rsidRPr="00F36850" w:rsidRDefault="00074556" w:rsidP="00F36850">
      <w:pPr>
        <w:jc w:val="both"/>
        <w:rPr>
          <w:i/>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074556">
        <w:rPr>
          <w:i/>
          <w:color w:val="000000" w:themeColor="text1"/>
        </w:rPr>
        <w:t xml:space="preserve">Signature de l’autorité territoriale </w:t>
      </w:r>
    </w:p>
    <w:p w14:paraId="58EBF9D0" w14:textId="77777777" w:rsidR="002763ED" w:rsidRDefault="002763ED"/>
    <w:sectPr w:rsidR="002763E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05F01" w14:textId="77777777" w:rsidR="00720557" w:rsidRDefault="00720557" w:rsidP="007F6082">
      <w:pPr>
        <w:spacing w:after="0" w:line="240" w:lineRule="auto"/>
      </w:pPr>
      <w:r>
        <w:separator/>
      </w:r>
    </w:p>
  </w:endnote>
  <w:endnote w:type="continuationSeparator" w:id="0">
    <w:p w14:paraId="384986C4" w14:textId="77777777" w:rsidR="00720557" w:rsidRDefault="00720557" w:rsidP="007F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CE9E7" w14:textId="77777777" w:rsidR="00BB332F" w:rsidRDefault="00BB33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80CE0" w14:textId="7BF39F1D" w:rsidR="004765FF" w:rsidRDefault="004765FF">
    <w:pPr>
      <w:pStyle w:val="Pieddepage"/>
    </w:pPr>
    <w:r>
      <w:t>Mise à jour septembre 2024</w:t>
    </w:r>
  </w:p>
  <w:p w14:paraId="20B49A3D" w14:textId="77777777" w:rsidR="007F6082" w:rsidRDefault="007F608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1268" w14:textId="77777777" w:rsidR="00BB332F" w:rsidRDefault="00BB33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CDA9F" w14:textId="77777777" w:rsidR="00720557" w:rsidRDefault="00720557" w:rsidP="007F6082">
      <w:pPr>
        <w:spacing w:after="0" w:line="240" w:lineRule="auto"/>
      </w:pPr>
      <w:r>
        <w:separator/>
      </w:r>
    </w:p>
  </w:footnote>
  <w:footnote w:type="continuationSeparator" w:id="0">
    <w:p w14:paraId="55CF2DFE" w14:textId="77777777" w:rsidR="00720557" w:rsidRDefault="00720557" w:rsidP="007F6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C5B8" w14:textId="77777777" w:rsidR="007F6082" w:rsidRDefault="00BB332F">
    <w:pPr>
      <w:pStyle w:val="En-tte"/>
    </w:pPr>
    <w:r>
      <w:rPr>
        <w:noProof/>
      </w:rPr>
      <w:pict w14:anchorId="445B9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5671" o:spid="_x0000_s1026"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07E8" w14:textId="77777777" w:rsidR="007F6082" w:rsidRDefault="00BB332F">
    <w:pPr>
      <w:pStyle w:val="En-tte"/>
    </w:pPr>
    <w:r>
      <w:rPr>
        <w:noProof/>
      </w:rPr>
      <w:pict w14:anchorId="090B7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5672" o:spid="_x0000_s1027"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E5174" w14:textId="77777777" w:rsidR="007F6082" w:rsidRDefault="00BB332F">
    <w:pPr>
      <w:pStyle w:val="En-tte"/>
    </w:pPr>
    <w:r>
      <w:rPr>
        <w:noProof/>
      </w:rPr>
      <w:pict w14:anchorId="19173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5670" o:spid="_x0000_s1025"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94AC6"/>
    <w:multiLevelType w:val="hybridMultilevel"/>
    <w:tmpl w:val="AE92819E"/>
    <w:lvl w:ilvl="0" w:tplc="6FB8759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2C4B6D"/>
    <w:multiLevelType w:val="hybridMultilevel"/>
    <w:tmpl w:val="A2DA12C0"/>
    <w:lvl w:ilvl="0" w:tplc="6FB8759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6F65E6"/>
    <w:multiLevelType w:val="hybridMultilevel"/>
    <w:tmpl w:val="E4845F9C"/>
    <w:lvl w:ilvl="0" w:tplc="6FB8759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9616C9"/>
    <w:multiLevelType w:val="hybridMultilevel"/>
    <w:tmpl w:val="EFE23E10"/>
    <w:lvl w:ilvl="0" w:tplc="6FB8759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A66031"/>
    <w:multiLevelType w:val="hybridMultilevel"/>
    <w:tmpl w:val="E4F88EE4"/>
    <w:lvl w:ilvl="0" w:tplc="F1FC0420">
      <w:start w:val="1"/>
      <w:numFmt w:val="bullet"/>
      <w:lvlText w:val="u"/>
      <w:lvlJc w:val="left"/>
      <w:pPr>
        <w:ind w:left="720" w:hanging="360"/>
      </w:pPr>
      <w:rPr>
        <w:rFonts w:ascii="Wingdings 3" w:hAnsi="Wingdings 3"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40834632">
    <w:abstractNumId w:val="0"/>
  </w:num>
  <w:num w:numId="2" w16cid:durableId="125701212">
    <w:abstractNumId w:val="2"/>
  </w:num>
  <w:num w:numId="3" w16cid:durableId="1480927127">
    <w:abstractNumId w:val="1"/>
  </w:num>
  <w:num w:numId="4" w16cid:durableId="1462652675">
    <w:abstractNumId w:val="3"/>
  </w:num>
  <w:num w:numId="5" w16cid:durableId="569313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75"/>
    <w:rsid w:val="00074556"/>
    <w:rsid w:val="000E3E71"/>
    <w:rsid w:val="001007DD"/>
    <w:rsid w:val="00122FA3"/>
    <w:rsid w:val="0013411F"/>
    <w:rsid w:val="001B03D3"/>
    <w:rsid w:val="002763ED"/>
    <w:rsid w:val="003F579E"/>
    <w:rsid w:val="004048C1"/>
    <w:rsid w:val="0047191C"/>
    <w:rsid w:val="004764D0"/>
    <w:rsid w:val="004765FF"/>
    <w:rsid w:val="004E1975"/>
    <w:rsid w:val="004E3B17"/>
    <w:rsid w:val="005D692E"/>
    <w:rsid w:val="005E40B4"/>
    <w:rsid w:val="005F21B1"/>
    <w:rsid w:val="00720557"/>
    <w:rsid w:val="007419BA"/>
    <w:rsid w:val="00751F8F"/>
    <w:rsid w:val="00787EA9"/>
    <w:rsid w:val="007A3C34"/>
    <w:rsid w:val="007F6082"/>
    <w:rsid w:val="00840340"/>
    <w:rsid w:val="00A63485"/>
    <w:rsid w:val="00AA09EA"/>
    <w:rsid w:val="00AE24EB"/>
    <w:rsid w:val="00B46AB1"/>
    <w:rsid w:val="00BB332F"/>
    <w:rsid w:val="00BC4620"/>
    <w:rsid w:val="00C03DA3"/>
    <w:rsid w:val="00C12A38"/>
    <w:rsid w:val="00C3298C"/>
    <w:rsid w:val="00C4253D"/>
    <w:rsid w:val="00C4751B"/>
    <w:rsid w:val="00CD10C8"/>
    <w:rsid w:val="00CD6D9C"/>
    <w:rsid w:val="00D03E9D"/>
    <w:rsid w:val="00F23AA8"/>
    <w:rsid w:val="00F368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2134E"/>
  <w15:chartTrackingRefBased/>
  <w15:docId w15:val="{1390D0AA-84D4-47A5-B2D0-9F56E99C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7EA9"/>
    <w:pPr>
      <w:ind w:left="720"/>
      <w:contextualSpacing/>
    </w:pPr>
  </w:style>
  <w:style w:type="paragraph" w:styleId="En-tte">
    <w:name w:val="header"/>
    <w:basedOn w:val="Normal"/>
    <w:link w:val="En-tteCar"/>
    <w:uiPriority w:val="99"/>
    <w:unhideWhenUsed/>
    <w:rsid w:val="007F6082"/>
    <w:pPr>
      <w:tabs>
        <w:tab w:val="center" w:pos="4536"/>
        <w:tab w:val="right" w:pos="9072"/>
      </w:tabs>
      <w:spacing w:after="0" w:line="240" w:lineRule="auto"/>
    </w:pPr>
  </w:style>
  <w:style w:type="character" w:customStyle="1" w:styleId="En-tteCar">
    <w:name w:val="En-tête Car"/>
    <w:basedOn w:val="Policepardfaut"/>
    <w:link w:val="En-tte"/>
    <w:uiPriority w:val="99"/>
    <w:rsid w:val="007F6082"/>
  </w:style>
  <w:style w:type="paragraph" w:styleId="Pieddepage">
    <w:name w:val="footer"/>
    <w:basedOn w:val="Normal"/>
    <w:link w:val="PieddepageCar"/>
    <w:uiPriority w:val="99"/>
    <w:unhideWhenUsed/>
    <w:rsid w:val="007F60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6082"/>
  </w:style>
  <w:style w:type="paragraph" w:styleId="Sansinterligne">
    <w:name w:val="No Spacing"/>
    <w:uiPriority w:val="1"/>
    <w:qFormat/>
    <w:rsid w:val="00D03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00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1D3E4-6127-4C5E-9D86-163DE7E7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1416</Words>
  <Characters>7792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Barritaud</dc:creator>
  <cp:keywords/>
  <dc:description/>
  <cp:lastModifiedBy>isabelle</cp:lastModifiedBy>
  <cp:revision>3</cp:revision>
  <dcterms:created xsi:type="dcterms:W3CDTF">2024-10-10T06:27:00Z</dcterms:created>
  <dcterms:modified xsi:type="dcterms:W3CDTF">2024-10-10T06:29:00Z</dcterms:modified>
</cp:coreProperties>
</file>